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bookmarkStart w:id="0" w:name="_GoBack"/>
      <w:bookmarkEnd w:id="0"/>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7F2F1A">
              <w:rPr>
                <w:color w:val="262626" w:themeColor="text1" w:themeTint="D9"/>
              </w:rPr>
              <w:t>2018-086B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7F2F1A">
              <w:rPr>
                <w:rFonts w:ascii="Arial" w:hAnsi="Arial" w:cs="Arial"/>
                <w:b/>
                <w:bCs/>
                <w:color w:val="262626" w:themeColor="text1" w:themeTint="D9"/>
                <w:sz w:val="22"/>
              </w:rPr>
              <w:t>High Calcium Quicklime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4C2B4C">
              <w:rPr>
                <w:rFonts w:ascii="Arial" w:hAnsi="Arial" w:cs="Arial"/>
                <w:b/>
                <w:bCs/>
                <w:color w:val="262626" w:themeColor="text1" w:themeTint="D9"/>
                <w:sz w:val="22"/>
              </w:rPr>
              <w:t>May 30</w:t>
            </w:r>
            <w:r w:rsidR="007F2F1A">
              <w:rPr>
                <w:rFonts w:ascii="Arial" w:hAnsi="Arial" w:cs="Arial"/>
                <w:b/>
                <w:bCs/>
                <w:color w:val="262626" w:themeColor="text1" w:themeTint="D9"/>
                <w:sz w:val="22"/>
              </w:rPr>
              <w:t>,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4C2B4C">
        <w:rPr>
          <w:rFonts w:ascii="Arial" w:eastAsia="MS Mincho" w:hAnsi="Arial" w:cs="Arial"/>
          <w:b/>
          <w:bCs/>
          <w:color w:val="262626" w:themeColor="text1" w:themeTint="D9"/>
        </w:rPr>
        <w:t>June 13</w:t>
      </w:r>
      <w:r w:rsidR="007F2F1A">
        <w:rPr>
          <w:rFonts w:ascii="Arial" w:eastAsia="MS Mincho" w:hAnsi="Arial" w:cs="Arial"/>
          <w:b/>
          <w:bCs/>
          <w:color w:val="262626" w:themeColor="text1" w:themeTint="D9"/>
        </w:rPr>
        <w:t xml:space="preserve">,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The City is soliciting bids for the purpose of contracting for the C</w:t>
      </w:r>
      <w:r w:rsidR="007F2F1A">
        <w:rPr>
          <w:rFonts w:ascii="Arial" w:eastAsia="MS Mincho" w:hAnsi="Arial" w:cs="Arial"/>
          <w:color w:val="262626" w:themeColor="text1" w:themeTint="D9"/>
        </w:rPr>
        <w:t xml:space="preserve">ity's annual requirements for high calcium quicklime.  </w:t>
      </w:r>
      <w:r w:rsidRPr="006B4A7A">
        <w:rPr>
          <w:rFonts w:ascii="Arial" w:eastAsia="MS Mincho" w:hAnsi="Arial" w:cs="Arial"/>
          <w:color w:val="262626" w:themeColor="text1" w:themeTint="D9"/>
        </w:rPr>
        <w:t>The resulting contract is anticipa</w:t>
      </w:r>
      <w:r w:rsidR="007F2F1A">
        <w:rPr>
          <w:rFonts w:ascii="Arial" w:eastAsia="MS Mincho" w:hAnsi="Arial" w:cs="Arial"/>
          <w:color w:val="262626" w:themeColor="text1" w:themeTint="D9"/>
        </w:rPr>
        <w:t xml:space="preserve">ted for a term of up to three (3) </w:t>
      </w:r>
      <w:r w:rsidRPr="006B4A7A">
        <w:rPr>
          <w:rFonts w:ascii="Arial" w:eastAsia="MS Mincho" w:hAnsi="Arial" w:cs="Arial"/>
          <w:color w:val="262626" w:themeColor="text1" w:themeTint="D9"/>
        </w:rPr>
        <w:t>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D7B85">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DD7B85" w:rsidRPr="00C07667" w:rsidRDefault="00CC08A0" w:rsidP="00DD7B85">
      <w:pPr>
        <w:pStyle w:val="PlainText"/>
        <w:jc w:val="center"/>
        <w:rPr>
          <w:rFonts w:ascii="Arial" w:eastAsia="MS Mincho" w:hAnsi="Arial" w:cs="Arial"/>
          <w:b/>
          <w:bCs/>
          <w:sz w:val="24"/>
        </w:rPr>
      </w:pPr>
      <w:r w:rsidRPr="00DC0C3F">
        <w:rPr>
          <w:rFonts w:ascii="Arial" w:eastAsia="MS Mincho" w:hAnsi="Arial" w:cs="Arial"/>
          <w:color w:val="262626" w:themeColor="text1" w:themeTint="D9"/>
          <w:sz w:val="18"/>
        </w:rPr>
        <w:br w:type="page"/>
      </w:r>
      <w:r w:rsidR="00DD7B85" w:rsidRPr="00C07667">
        <w:rPr>
          <w:rFonts w:ascii="Arial" w:eastAsia="MS Mincho" w:hAnsi="Arial" w:cs="Arial"/>
          <w:b/>
          <w:bCs/>
          <w:sz w:val="24"/>
        </w:rPr>
        <w:lastRenderedPageBreak/>
        <w:t>SPECIFICATIONS</w:t>
      </w:r>
    </w:p>
    <w:p w:rsidR="00DD7B85" w:rsidRPr="00C07667" w:rsidRDefault="00DD7B85" w:rsidP="00DD7B85">
      <w:pPr>
        <w:pStyle w:val="PlainText"/>
        <w:jc w:val="both"/>
        <w:rPr>
          <w:rFonts w:ascii="Arial" w:eastAsia="MS Mincho" w:hAnsi="Arial" w:cs="Arial"/>
          <w:sz w:val="18"/>
        </w:rPr>
      </w:pPr>
    </w:p>
    <w:p w:rsidR="00DD7B85" w:rsidRPr="00C07667" w:rsidRDefault="00DD7B85" w:rsidP="00DD7B85">
      <w:pPr>
        <w:pStyle w:val="PlainText"/>
        <w:jc w:val="center"/>
        <w:rPr>
          <w:rFonts w:ascii="Arial" w:hAnsi="Arial" w:cs="Arial"/>
          <w:b/>
          <w:bCs/>
          <w:sz w:val="22"/>
        </w:rPr>
      </w:pPr>
      <w:r w:rsidRPr="00C07667">
        <w:rPr>
          <w:rFonts w:ascii="Arial" w:eastAsia="MS Mincho" w:hAnsi="Arial" w:cs="Arial"/>
          <w:sz w:val="18"/>
        </w:rPr>
        <w:cr/>
      </w:r>
      <w:r w:rsidRPr="00C07667">
        <w:rPr>
          <w:rFonts w:ascii="Arial" w:hAnsi="Arial" w:cs="Arial"/>
          <w:b/>
          <w:bCs/>
          <w:sz w:val="22"/>
        </w:rPr>
        <w:t>High Calcium Quicklime (Calcium Oxide)</w:t>
      </w:r>
    </w:p>
    <w:p w:rsidR="00DD7B85" w:rsidRPr="00C07667" w:rsidRDefault="00DD7B85" w:rsidP="00DD7B85">
      <w:pPr>
        <w:pStyle w:val="PlainText"/>
        <w:rPr>
          <w:rFonts w:ascii="Arial" w:hAnsi="Arial" w:cs="Arial"/>
          <w:sz w:val="18"/>
        </w:rPr>
      </w:pPr>
    </w:p>
    <w:p w:rsidR="00DD7B85" w:rsidRPr="00C07667" w:rsidRDefault="00DD7B85" w:rsidP="00DD7B85">
      <w:pPr>
        <w:pStyle w:val="PlainText"/>
        <w:ind w:left="360" w:hanging="360"/>
        <w:jc w:val="both"/>
        <w:rPr>
          <w:rFonts w:ascii="Arial" w:hAnsi="Arial" w:cs="Arial"/>
          <w:b/>
          <w:bCs/>
        </w:rPr>
      </w:pPr>
      <w:r w:rsidRPr="00C07667">
        <w:rPr>
          <w:rFonts w:ascii="Arial" w:hAnsi="Arial" w:cs="Arial"/>
          <w:b/>
          <w:bCs/>
        </w:rPr>
        <w:t xml:space="preserve">A. </w:t>
      </w:r>
      <w:r w:rsidRPr="00C07667">
        <w:rPr>
          <w:rFonts w:ascii="Arial" w:hAnsi="Arial" w:cs="Arial"/>
          <w:b/>
          <w:bCs/>
        </w:rPr>
        <w:tab/>
        <w:t>Physical Requirements:</w:t>
      </w:r>
    </w:p>
    <w:p w:rsidR="00DD7B85" w:rsidRPr="00C07667" w:rsidRDefault="00DD7B85" w:rsidP="00DD7B85">
      <w:pPr>
        <w:pStyle w:val="PlainText"/>
        <w:jc w:val="both"/>
        <w:rPr>
          <w:rFonts w:ascii="Arial" w:hAnsi="Arial" w:cs="Arial"/>
          <w:b/>
          <w:bCs/>
        </w:rPr>
      </w:pPr>
    </w:p>
    <w:p w:rsidR="00DD7B85" w:rsidRPr="00C07667" w:rsidRDefault="00DD7B85" w:rsidP="00DD7B85">
      <w:pPr>
        <w:pStyle w:val="PlainText"/>
        <w:ind w:left="720" w:hanging="360"/>
        <w:jc w:val="both"/>
        <w:rPr>
          <w:rFonts w:ascii="Arial" w:hAnsi="Arial" w:cs="Arial"/>
        </w:rPr>
      </w:pPr>
      <w:r w:rsidRPr="00C07667">
        <w:rPr>
          <w:rFonts w:ascii="Arial" w:hAnsi="Arial" w:cs="Arial"/>
          <w:b/>
          <w:bCs/>
        </w:rPr>
        <w:t>1.</w:t>
      </w:r>
      <w:r w:rsidRPr="00C07667">
        <w:rPr>
          <w:rFonts w:ascii="Arial" w:hAnsi="Arial" w:cs="Arial"/>
          <w:b/>
          <w:bCs/>
        </w:rPr>
        <w:tab/>
      </w:r>
      <w:r w:rsidRPr="00C07667">
        <w:rPr>
          <w:rFonts w:ascii="Arial" w:hAnsi="Arial" w:cs="Arial"/>
          <w:b/>
          <w:bCs/>
          <w:u w:val="single"/>
        </w:rPr>
        <w:t>Material</w:t>
      </w:r>
      <w:r w:rsidRPr="00C07667">
        <w:rPr>
          <w:rFonts w:ascii="Arial" w:hAnsi="Arial" w:cs="Arial"/>
        </w:rPr>
        <w:t xml:space="preserve"> – The material supplied shall be rotary kiln, quick slaking, burned, high calcium quicklime, which is substantially free from cinders, dirt, ash, core, unburned stone, and other foreign materials.  The material may also be referred to as high calcium quicklime, Calcium oxide, pebble lime, rotary kiln quicklime, and/or burned chemical quicklime.  References to any of these synonyms, or the simple word “lime” in this document refer to this same material unless otherwise specified. </w:t>
      </w:r>
    </w:p>
    <w:p w:rsidR="00DD7B85" w:rsidRPr="00C07667" w:rsidRDefault="00DD7B85" w:rsidP="00DD7B85">
      <w:pPr>
        <w:pStyle w:val="PlainText"/>
        <w:ind w:left="720" w:hanging="360"/>
        <w:jc w:val="both"/>
        <w:rPr>
          <w:rFonts w:ascii="Arial" w:hAnsi="Arial" w:cs="Arial"/>
        </w:rPr>
      </w:pPr>
      <w:r w:rsidRPr="00C07667">
        <w:rPr>
          <w:rFonts w:ascii="Arial" w:hAnsi="Arial" w:cs="Arial"/>
          <w:b/>
          <w:bCs/>
        </w:rPr>
        <w:t>2.</w:t>
      </w:r>
      <w:r w:rsidRPr="00C07667">
        <w:rPr>
          <w:rFonts w:ascii="Arial" w:hAnsi="Arial" w:cs="Arial"/>
          <w:b/>
          <w:bCs/>
        </w:rPr>
        <w:tab/>
      </w:r>
      <w:r w:rsidRPr="00C07667">
        <w:rPr>
          <w:rFonts w:ascii="Arial" w:hAnsi="Arial" w:cs="Arial"/>
          <w:b/>
          <w:bCs/>
          <w:u w:val="single"/>
        </w:rPr>
        <w:t>Physical Characteristics</w:t>
      </w:r>
      <w:r w:rsidRPr="00C07667">
        <w:rPr>
          <w:rFonts w:ascii="Arial" w:hAnsi="Arial" w:cs="Arial"/>
        </w:rPr>
        <w:t xml:space="preserve"> – The material provided shall be of a white, odorless fine/pebble form 0-1/4 inch, also known as ”quarter fines”, “minus ¼”, or “high calcium fines”.  All material shall be capable of passing through a ¼ inch screen, with not more than 10% passing through a #100 mesh (150 micron) screen.  The material shall be suitable for pneumatic system unloading.</w:t>
      </w:r>
    </w:p>
    <w:p w:rsidR="00DD7B85" w:rsidRPr="00C07667" w:rsidRDefault="00DD7B85" w:rsidP="00DD7B85">
      <w:pPr>
        <w:pStyle w:val="PlainText"/>
        <w:ind w:left="720" w:hanging="360"/>
        <w:jc w:val="both"/>
        <w:rPr>
          <w:rFonts w:ascii="Arial" w:hAnsi="Arial" w:cs="Arial"/>
        </w:rPr>
      </w:pPr>
      <w:r w:rsidRPr="00C07667">
        <w:rPr>
          <w:rFonts w:ascii="Arial" w:hAnsi="Arial" w:cs="Arial"/>
          <w:b/>
          <w:bCs/>
        </w:rPr>
        <w:t>3.</w:t>
      </w:r>
      <w:r w:rsidRPr="00C07667">
        <w:rPr>
          <w:rFonts w:ascii="Arial" w:hAnsi="Arial" w:cs="Arial"/>
          <w:b/>
          <w:bCs/>
        </w:rPr>
        <w:tab/>
      </w:r>
      <w:r w:rsidRPr="00C07667">
        <w:rPr>
          <w:rFonts w:ascii="Arial" w:hAnsi="Arial" w:cs="Arial"/>
          <w:b/>
          <w:bCs/>
          <w:u w:val="single"/>
        </w:rPr>
        <w:t>Standards &amp; Testing</w:t>
      </w:r>
      <w:r w:rsidRPr="00C07667">
        <w:rPr>
          <w:rFonts w:ascii="Arial" w:hAnsi="Arial" w:cs="Arial"/>
        </w:rPr>
        <w:t xml:space="preserve"> – The material shall meet the requirements of ANSI Standard B202-93, with addendums, and AWWA Standard C911.  Testing to meet specification requirements shall be done via ASTM/AWWA methods, and typical material test results shall be provided with the bid.  Materials that do not appear to meet the contract specifications shall be tested upon the City’s request, at the Contractor’s expense, and test results provided.</w:t>
      </w:r>
    </w:p>
    <w:p w:rsidR="00DD7B85" w:rsidRPr="00C07667" w:rsidRDefault="00DD7B85" w:rsidP="00DD7B85">
      <w:pPr>
        <w:pStyle w:val="PlainText"/>
        <w:ind w:left="720" w:hanging="360"/>
        <w:jc w:val="both"/>
        <w:rPr>
          <w:rFonts w:ascii="Arial" w:eastAsia="MS Mincho" w:hAnsi="Arial" w:cs="Arial"/>
        </w:rPr>
      </w:pPr>
      <w:r w:rsidRPr="00C07667">
        <w:rPr>
          <w:rFonts w:ascii="Arial" w:hAnsi="Arial" w:cs="Arial"/>
          <w:b/>
          <w:bCs/>
        </w:rPr>
        <w:t>4.</w:t>
      </w:r>
      <w:r w:rsidRPr="00C07667">
        <w:rPr>
          <w:rFonts w:ascii="Arial" w:hAnsi="Arial" w:cs="Arial"/>
          <w:b/>
          <w:bCs/>
        </w:rPr>
        <w:tab/>
      </w:r>
      <w:r w:rsidRPr="00C07667">
        <w:rPr>
          <w:rFonts w:ascii="Arial" w:hAnsi="Arial" w:cs="Arial"/>
          <w:b/>
          <w:bCs/>
          <w:u w:val="single"/>
        </w:rPr>
        <w:t>Material Content</w:t>
      </w:r>
      <w:r w:rsidRPr="00C07667">
        <w:rPr>
          <w:rFonts w:ascii="Arial" w:hAnsi="Arial" w:cs="Arial"/>
        </w:rPr>
        <w:t xml:space="preserve"> – </w:t>
      </w:r>
      <w:r w:rsidRPr="00C07667">
        <w:rPr>
          <w:rFonts w:ascii="Arial" w:eastAsia="MS Mincho" w:hAnsi="Arial" w:cs="Arial"/>
        </w:rPr>
        <w:t>The Bidder shall provide a complete chemical analysis of the material at the time of bidding.  This analysis is to include quantities of all trace substances expected to be present in the delivered product.   If proprietary materials are included, they should be listed without quantities and labeled "proprietary".  A current material safety data sheet (MSDS) should also be included at the time of bid and at first delivery.  Revised chemical analysis and/or MSDS data shall be provided whenever there is a change in material supplier, a change in product content, a revision of the supplier’s MSDS, or as required by federal, state or local regulations.</w:t>
      </w:r>
    </w:p>
    <w:p w:rsidR="00DD7B85" w:rsidRPr="00C07667" w:rsidRDefault="00DD7B85" w:rsidP="00DD7B85">
      <w:pPr>
        <w:pStyle w:val="PlainText"/>
        <w:ind w:left="1080" w:hanging="360"/>
        <w:jc w:val="both"/>
        <w:rPr>
          <w:rFonts w:ascii="Arial" w:hAnsi="Arial" w:cs="Arial"/>
        </w:rPr>
      </w:pPr>
    </w:p>
    <w:p w:rsidR="00DD7B85" w:rsidRPr="00C07667" w:rsidRDefault="00DD7B85" w:rsidP="00DD7B85">
      <w:pPr>
        <w:pStyle w:val="PlainText"/>
        <w:ind w:left="3240" w:hanging="360"/>
        <w:jc w:val="both"/>
        <w:rPr>
          <w:rFonts w:ascii="Arial" w:hAnsi="Arial" w:cs="Arial"/>
        </w:rPr>
      </w:pPr>
      <w:r w:rsidRPr="00C07667">
        <w:rPr>
          <w:rFonts w:ascii="Arial" w:hAnsi="Arial" w:cs="Arial"/>
        </w:rPr>
        <w:t>Required material analysis:</w:t>
      </w:r>
    </w:p>
    <w:p w:rsidR="00DD7B85" w:rsidRPr="00C07667" w:rsidRDefault="00DD7B85" w:rsidP="00DD7B85">
      <w:pPr>
        <w:pStyle w:val="PlainText"/>
        <w:ind w:left="3240" w:hanging="360"/>
        <w:jc w:val="both"/>
        <w:rPr>
          <w:rFonts w:ascii="Arial" w:hAnsi="Arial" w:cs="Arial"/>
        </w:rPr>
      </w:pPr>
    </w:p>
    <w:p w:rsidR="00DD7B85" w:rsidRPr="00C07667" w:rsidRDefault="00DD7B85" w:rsidP="00DD7B85">
      <w:pPr>
        <w:pStyle w:val="PlainText"/>
        <w:ind w:left="3240" w:hanging="360"/>
        <w:jc w:val="both"/>
        <w:rPr>
          <w:rFonts w:ascii="Arial" w:hAnsi="Arial" w:cs="Arial"/>
        </w:rPr>
      </w:pPr>
      <w:r w:rsidRPr="00C07667">
        <w:rPr>
          <w:rFonts w:ascii="Arial" w:hAnsi="Arial" w:cs="Arial"/>
        </w:rPr>
        <w:t>Available Calcium oxide……... not less than 92.0%</w:t>
      </w:r>
    </w:p>
    <w:p w:rsidR="00DD7B85" w:rsidRPr="00C07667" w:rsidRDefault="00DD7B85" w:rsidP="00DD7B85">
      <w:pPr>
        <w:pStyle w:val="PlainText"/>
        <w:ind w:left="3240" w:hanging="360"/>
        <w:jc w:val="both"/>
        <w:rPr>
          <w:rFonts w:ascii="Arial" w:hAnsi="Arial" w:cs="Arial"/>
        </w:rPr>
      </w:pPr>
      <w:r w:rsidRPr="00C07667">
        <w:rPr>
          <w:rFonts w:ascii="Arial" w:hAnsi="Arial" w:cs="Arial"/>
        </w:rPr>
        <w:t xml:space="preserve">Magnesium </w:t>
      </w:r>
      <w:proofErr w:type="gramStart"/>
      <w:r w:rsidRPr="00C07667">
        <w:rPr>
          <w:rFonts w:ascii="Arial" w:hAnsi="Arial" w:cs="Arial"/>
        </w:rPr>
        <w:t>Oxide.…………….</w:t>
      </w:r>
      <w:proofErr w:type="gramEnd"/>
      <w:r w:rsidRPr="00C07667">
        <w:rPr>
          <w:rFonts w:ascii="Arial" w:hAnsi="Arial" w:cs="Arial"/>
        </w:rPr>
        <w:t>not more than 2.50%</w:t>
      </w:r>
    </w:p>
    <w:p w:rsidR="00DD7B85" w:rsidRPr="00C07667" w:rsidRDefault="00DD7B85" w:rsidP="00DD7B85">
      <w:pPr>
        <w:pStyle w:val="PlainText"/>
        <w:ind w:left="3240" w:hanging="360"/>
        <w:jc w:val="both"/>
        <w:rPr>
          <w:rFonts w:ascii="Arial" w:hAnsi="Arial" w:cs="Arial"/>
        </w:rPr>
      </w:pPr>
      <w:r w:rsidRPr="00C07667">
        <w:rPr>
          <w:rFonts w:ascii="Arial" w:hAnsi="Arial" w:cs="Arial"/>
        </w:rPr>
        <w:t>Calcium carbonate…………….not more than 2.50%</w:t>
      </w:r>
    </w:p>
    <w:p w:rsidR="00DD7B85" w:rsidRPr="00C07667" w:rsidRDefault="00DD7B85" w:rsidP="00DD7B85">
      <w:pPr>
        <w:pStyle w:val="PlainText"/>
        <w:ind w:left="3240" w:hanging="360"/>
        <w:jc w:val="both"/>
        <w:rPr>
          <w:rFonts w:ascii="Arial" w:hAnsi="Arial" w:cs="Arial"/>
        </w:rPr>
      </w:pPr>
      <w:r w:rsidRPr="00C07667">
        <w:rPr>
          <w:rFonts w:ascii="Arial" w:hAnsi="Arial" w:cs="Arial"/>
        </w:rPr>
        <w:t>Silica……………...…………….not more than 1.00%</w:t>
      </w:r>
    </w:p>
    <w:p w:rsidR="00DD7B85" w:rsidRPr="00C07667" w:rsidRDefault="00DD7B85" w:rsidP="00DD7B85">
      <w:pPr>
        <w:pStyle w:val="PlainText"/>
        <w:ind w:left="3240" w:hanging="360"/>
        <w:jc w:val="both"/>
        <w:rPr>
          <w:rFonts w:ascii="Arial" w:hAnsi="Arial" w:cs="Arial"/>
        </w:rPr>
      </w:pPr>
      <w:r w:rsidRPr="00C07667">
        <w:rPr>
          <w:rFonts w:ascii="Arial" w:hAnsi="Arial" w:cs="Arial"/>
        </w:rPr>
        <w:t>Iron and Alumina...…………….not more than 0.70%</w:t>
      </w:r>
    </w:p>
    <w:p w:rsidR="00DD7B85" w:rsidRPr="00C07667" w:rsidRDefault="00DD7B85" w:rsidP="00DD7B85">
      <w:pPr>
        <w:pStyle w:val="PlainText"/>
        <w:ind w:left="3240" w:hanging="360"/>
        <w:jc w:val="both"/>
        <w:rPr>
          <w:rFonts w:ascii="Arial" w:hAnsi="Arial" w:cs="Arial"/>
        </w:rPr>
      </w:pPr>
      <w:r w:rsidRPr="00C07667">
        <w:rPr>
          <w:rFonts w:ascii="Arial" w:hAnsi="Arial" w:cs="Arial"/>
        </w:rPr>
        <w:t>Sulfur</w:t>
      </w:r>
      <w:proofErr w:type="gramStart"/>
      <w:r w:rsidRPr="00C07667">
        <w:rPr>
          <w:rFonts w:ascii="Arial" w:hAnsi="Arial" w:cs="Arial"/>
        </w:rPr>
        <w:t>..</w:t>
      </w:r>
      <w:proofErr w:type="gramEnd"/>
      <w:r w:rsidRPr="00C07667">
        <w:rPr>
          <w:rFonts w:ascii="Arial" w:hAnsi="Arial" w:cs="Arial"/>
        </w:rPr>
        <w:t>……...…….…………….not more than 0.03%</w:t>
      </w:r>
    </w:p>
    <w:p w:rsidR="00DD7B85" w:rsidRPr="00C07667" w:rsidRDefault="00DD7B85" w:rsidP="00DD7B85">
      <w:pPr>
        <w:pStyle w:val="PlainText"/>
        <w:ind w:left="3240" w:hanging="360"/>
        <w:jc w:val="both"/>
        <w:rPr>
          <w:rFonts w:ascii="Arial" w:hAnsi="Arial" w:cs="Arial"/>
        </w:rPr>
      </w:pPr>
      <w:r w:rsidRPr="00C07667">
        <w:rPr>
          <w:rFonts w:ascii="Arial" w:hAnsi="Arial" w:cs="Arial"/>
        </w:rPr>
        <w:t>Loss on ignition….…………….not more than 1.50%</w:t>
      </w:r>
    </w:p>
    <w:p w:rsidR="00DD7B85" w:rsidRPr="00C07667" w:rsidRDefault="00DD7B85" w:rsidP="00DD7B85">
      <w:pPr>
        <w:pStyle w:val="PlainText"/>
        <w:ind w:left="3240" w:hanging="360"/>
        <w:jc w:val="both"/>
        <w:rPr>
          <w:rFonts w:ascii="Arial" w:hAnsi="Arial" w:cs="Arial"/>
        </w:rPr>
      </w:pPr>
      <w:r w:rsidRPr="00C07667">
        <w:rPr>
          <w:rFonts w:ascii="Arial" w:hAnsi="Arial" w:cs="Arial"/>
        </w:rPr>
        <w:t>Slaking residue…..…………….not more than 2.00%</w:t>
      </w:r>
    </w:p>
    <w:p w:rsidR="00DD7B85" w:rsidRPr="00C07667" w:rsidRDefault="00DD7B85" w:rsidP="00DD7B85">
      <w:pPr>
        <w:pStyle w:val="PlainText"/>
        <w:ind w:left="3240" w:hanging="360"/>
        <w:jc w:val="both"/>
        <w:rPr>
          <w:rFonts w:ascii="Arial" w:hAnsi="Arial" w:cs="Arial"/>
        </w:rPr>
      </w:pPr>
      <w:r w:rsidRPr="00C07667">
        <w:rPr>
          <w:rFonts w:ascii="Arial" w:hAnsi="Arial" w:cs="Arial"/>
        </w:rPr>
        <w:t>Reactivity………...…………….not less than 35 degree C rise (ASTM C110)</w:t>
      </w:r>
    </w:p>
    <w:p w:rsidR="00DD7B85" w:rsidRPr="00C07667" w:rsidRDefault="00DD7B85" w:rsidP="00DD7B85">
      <w:pPr>
        <w:pStyle w:val="PlainText"/>
        <w:ind w:left="1080" w:hanging="360"/>
        <w:jc w:val="both"/>
        <w:rPr>
          <w:rFonts w:ascii="Arial" w:hAnsi="Arial" w:cs="Arial"/>
        </w:rPr>
      </w:pPr>
    </w:p>
    <w:p w:rsidR="00DD7B85" w:rsidRPr="00C07667" w:rsidRDefault="00DD7B85" w:rsidP="00DD7B85">
      <w:pPr>
        <w:pStyle w:val="PlainText"/>
        <w:ind w:left="1080" w:hanging="360"/>
        <w:jc w:val="both"/>
        <w:rPr>
          <w:rFonts w:ascii="Arial" w:hAnsi="Arial" w:cs="Arial"/>
        </w:rPr>
      </w:pPr>
      <w:r w:rsidRPr="00C07667">
        <w:rPr>
          <w:rFonts w:ascii="Arial" w:hAnsi="Arial" w:cs="Arial"/>
        </w:rPr>
        <w:t>The City, prior to Award of Bid may request a sample of the material.</w:t>
      </w:r>
    </w:p>
    <w:p w:rsidR="00DD7B85" w:rsidRPr="00C07667" w:rsidRDefault="00DD7B85" w:rsidP="00DD7B85">
      <w:pPr>
        <w:pStyle w:val="PlainText"/>
        <w:ind w:left="720" w:hanging="360"/>
        <w:jc w:val="both"/>
        <w:rPr>
          <w:rFonts w:ascii="Arial" w:hAnsi="Arial" w:cs="Arial"/>
        </w:rPr>
      </w:pPr>
    </w:p>
    <w:p w:rsidR="00DD7B85" w:rsidRPr="00C07667" w:rsidRDefault="00DD7B85" w:rsidP="00DD7B85">
      <w:pPr>
        <w:pStyle w:val="PlainText"/>
        <w:ind w:left="360" w:hanging="360"/>
        <w:jc w:val="both"/>
        <w:rPr>
          <w:rFonts w:ascii="Arial" w:hAnsi="Arial" w:cs="Arial"/>
          <w:b/>
          <w:bCs/>
        </w:rPr>
      </w:pPr>
      <w:r w:rsidRPr="00C07667">
        <w:rPr>
          <w:rFonts w:ascii="Arial" w:hAnsi="Arial" w:cs="Arial"/>
          <w:b/>
          <w:bCs/>
        </w:rPr>
        <w:t>B.</w:t>
      </w:r>
      <w:r w:rsidRPr="00C07667">
        <w:rPr>
          <w:rFonts w:ascii="Arial" w:hAnsi="Arial" w:cs="Arial"/>
          <w:b/>
          <w:bCs/>
        </w:rPr>
        <w:tab/>
        <w:t>Delivery</w:t>
      </w:r>
    </w:p>
    <w:p w:rsidR="00DD7B85" w:rsidRPr="00C07667" w:rsidRDefault="00DD7B85" w:rsidP="00DD7B85">
      <w:pPr>
        <w:pStyle w:val="PlainText"/>
        <w:jc w:val="both"/>
        <w:rPr>
          <w:rFonts w:ascii="Arial" w:hAnsi="Arial" w:cs="Arial"/>
        </w:rPr>
      </w:pPr>
    </w:p>
    <w:p w:rsidR="00DD7B85" w:rsidRPr="00C07667" w:rsidRDefault="00DD7B85" w:rsidP="00DD7B85">
      <w:pPr>
        <w:pStyle w:val="PlainText"/>
        <w:ind w:left="720" w:hanging="360"/>
        <w:jc w:val="both"/>
        <w:rPr>
          <w:rFonts w:ascii="Arial" w:hAnsi="Arial" w:cs="Arial"/>
        </w:rPr>
      </w:pPr>
      <w:r w:rsidRPr="00C07667">
        <w:rPr>
          <w:rFonts w:ascii="Arial" w:hAnsi="Arial" w:cs="Arial"/>
          <w:b/>
          <w:bCs/>
        </w:rPr>
        <w:t>1.</w:t>
      </w:r>
      <w:r w:rsidRPr="00C07667">
        <w:rPr>
          <w:rFonts w:ascii="Arial" w:hAnsi="Arial" w:cs="Arial"/>
        </w:rPr>
        <w:tab/>
        <w:t xml:space="preserve">Normal load size will be approximately 25 tons and shall not exceed 40 tons.  The </w:t>
      </w:r>
      <w:proofErr w:type="spellStart"/>
      <w:r w:rsidRPr="00C07667">
        <w:rPr>
          <w:rFonts w:ascii="Arial" w:hAnsi="Arial" w:cs="Arial"/>
        </w:rPr>
        <w:t>year end</w:t>
      </w:r>
      <w:proofErr w:type="spellEnd"/>
      <w:r w:rsidRPr="00C07667">
        <w:rPr>
          <w:rFonts w:ascii="Arial" w:hAnsi="Arial" w:cs="Arial"/>
        </w:rPr>
        <w:t xml:space="preserve"> load may be less than 20 tons.</w:t>
      </w:r>
    </w:p>
    <w:p w:rsidR="00DD7B85" w:rsidRPr="00C07667" w:rsidRDefault="00DD7B85" w:rsidP="00DD7B85">
      <w:pPr>
        <w:pStyle w:val="PlainText"/>
        <w:numPr>
          <w:ilvl w:val="0"/>
          <w:numId w:val="12"/>
        </w:numPr>
        <w:jc w:val="both"/>
        <w:rPr>
          <w:rFonts w:ascii="Arial" w:hAnsi="Arial" w:cs="Arial"/>
        </w:rPr>
      </w:pPr>
      <w:r w:rsidRPr="00C07667">
        <w:rPr>
          <w:rFonts w:ascii="Arial" w:hAnsi="Arial" w:cs="Arial"/>
        </w:rPr>
        <w:t>Delivery is subject to owner’s approval and must be made within two (2) calendar days of placing the order.  Orders received after two calendar days of ordering will be subject to a 10% reduction in cost, which will be subtracted from the invoice at the time of payment.  The City shall be notified of the expected delivery date at the time of ordering.</w:t>
      </w:r>
    </w:p>
    <w:p w:rsidR="00DD7B85" w:rsidRPr="00C07667" w:rsidRDefault="00DD7B85" w:rsidP="00DD7B85">
      <w:pPr>
        <w:pStyle w:val="PlainText"/>
        <w:numPr>
          <w:ilvl w:val="0"/>
          <w:numId w:val="12"/>
        </w:numPr>
        <w:jc w:val="both"/>
        <w:rPr>
          <w:rFonts w:ascii="Arial" w:hAnsi="Arial" w:cs="Arial"/>
        </w:rPr>
      </w:pPr>
      <w:r w:rsidRPr="00C07667">
        <w:rPr>
          <w:rFonts w:ascii="Arial" w:eastAsia="MS Mincho" w:hAnsi="Arial" w:cs="Arial"/>
        </w:rPr>
        <w:t xml:space="preserve">Delivery is to be made to the Wastewater Treatment Plant, </w:t>
      </w:r>
      <w:smartTag w:uri="urn:schemas-microsoft-com:office:smarttags" w:element="address">
        <w:smartTag w:uri="urn:schemas-microsoft-com:office:smarttags" w:element="Street">
          <w:r w:rsidRPr="00C07667">
            <w:rPr>
              <w:rFonts w:ascii="Arial" w:eastAsia="MS Mincho" w:hAnsi="Arial" w:cs="Arial"/>
            </w:rPr>
            <w:t>2000 West River Road</w:t>
          </w:r>
        </w:smartTag>
        <w:r w:rsidRPr="00C07667">
          <w:rPr>
            <w:rFonts w:ascii="Arial" w:eastAsia="MS Mincho" w:hAnsi="Arial" w:cs="Arial"/>
          </w:rPr>
          <w:t xml:space="preserve">, </w:t>
        </w:r>
        <w:smartTag w:uri="urn:schemas-microsoft-com:office:smarttags" w:element="City">
          <w:r w:rsidRPr="00C07667">
            <w:rPr>
              <w:rFonts w:ascii="Arial" w:eastAsia="MS Mincho" w:hAnsi="Arial" w:cs="Arial"/>
            </w:rPr>
            <w:t>Battle Creek</w:t>
          </w:r>
        </w:smartTag>
        <w:r w:rsidRPr="00C07667">
          <w:rPr>
            <w:rFonts w:ascii="Arial" w:eastAsia="MS Mincho" w:hAnsi="Arial" w:cs="Arial"/>
          </w:rPr>
          <w:t xml:space="preserve">, </w:t>
        </w:r>
        <w:smartTag w:uri="urn:schemas-microsoft-com:office:smarttags" w:element="State">
          <w:r w:rsidRPr="00C07667">
            <w:rPr>
              <w:rFonts w:ascii="Arial" w:eastAsia="MS Mincho" w:hAnsi="Arial" w:cs="Arial"/>
            </w:rPr>
            <w:t>MI</w:t>
          </w:r>
        </w:smartTag>
      </w:smartTag>
      <w:r w:rsidRPr="00C07667">
        <w:rPr>
          <w:rFonts w:ascii="Arial" w:eastAsia="MS Mincho" w:hAnsi="Arial" w:cs="Arial"/>
        </w:rPr>
        <w:t>, between the hours of 3:00 PM and 6:00 AM, local time, Monday through Saturday.  No extra charges are to be made for weekend, or off-hours, deliveries or cartage.  Deliveries between 6:00 a.m. and 3:00 p.m.</w:t>
      </w:r>
      <w:r w:rsidRPr="00C07667">
        <w:rPr>
          <w:rFonts w:ascii="Arial" w:hAnsi="Arial" w:cs="Arial"/>
        </w:rPr>
        <w:t xml:space="preserve"> may be rejected, or off-loading delayed, at no additional cost to the City. </w:t>
      </w:r>
    </w:p>
    <w:p w:rsidR="00DD7B85" w:rsidRPr="00C07667" w:rsidRDefault="00DD7B85" w:rsidP="00DD7B85">
      <w:pPr>
        <w:pStyle w:val="PlainText"/>
        <w:numPr>
          <w:ilvl w:val="0"/>
          <w:numId w:val="12"/>
        </w:numPr>
        <w:jc w:val="both"/>
        <w:rPr>
          <w:rFonts w:ascii="Arial" w:eastAsia="MS Mincho" w:hAnsi="Arial" w:cs="Arial"/>
        </w:rPr>
      </w:pPr>
      <w:r w:rsidRPr="00C07667">
        <w:rPr>
          <w:rFonts w:ascii="Arial" w:hAnsi="Arial" w:cs="Arial"/>
        </w:rPr>
        <w:t xml:space="preserve">Delivery is to be made by truck </w:t>
      </w:r>
      <w:r w:rsidR="000B0831">
        <w:rPr>
          <w:rFonts w:ascii="Arial" w:hAnsi="Arial" w:cs="Arial"/>
        </w:rPr>
        <w:t xml:space="preserve">bulk </w:t>
      </w:r>
      <w:r w:rsidRPr="00C07667">
        <w:rPr>
          <w:rFonts w:ascii="Arial" w:hAnsi="Arial" w:cs="Arial"/>
        </w:rPr>
        <w:t xml:space="preserve">trailer.  The trucks shall be equipped with an off-loading blower, suitable </w:t>
      </w:r>
      <w:r w:rsidRPr="00C07667">
        <w:rPr>
          <w:rFonts w:ascii="Arial" w:eastAsia="MS Mincho" w:hAnsi="Arial" w:cs="Arial"/>
        </w:rPr>
        <w:t>for connection to the existing 4" cam-lock fitting at the Wastewater Treatment Plant.  The Contractor is to supply any fittings and/or hoses to make material tight connection to this fitting.  The Contractor is to supply any pumping or pneumatic equipment, air pressure, power, etc., needed to complete off-loading.  The method of off-loading must be compatible with existing city facilities and prevent damage to those facilities.  Any modifications to the City's facilities are to be made only with written approval of the City at the Contractor’s expense.  Should it become necessary at any time for the City to provide personnel or equipment to directly assist in off-loading, the Contractor shall be billed for the expenses incurred.</w:t>
      </w:r>
    </w:p>
    <w:p w:rsidR="00DD7B85" w:rsidRPr="00C07667" w:rsidRDefault="00DD7B85" w:rsidP="00DD7B85">
      <w:pPr>
        <w:pStyle w:val="PlainText"/>
        <w:ind w:left="720"/>
        <w:jc w:val="both"/>
        <w:rPr>
          <w:rFonts w:ascii="Arial" w:eastAsia="MS Mincho" w:hAnsi="Arial" w:cs="Arial"/>
        </w:rPr>
      </w:pPr>
    </w:p>
    <w:p w:rsidR="00DD7B85" w:rsidRPr="00C07667" w:rsidRDefault="00DD7B85" w:rsidP="00DD7B85">
      <w:pPr>
        <w:pStyle w:val="PlainText"/>
        <w:numPr>
          <w:ilvl w:val="0"/>
          <w:numId w:val="12"/>
        </w:numPr>
        <w:jc w:val="both"/>
        <w:rPr>
          <w:rFonts w:ascii="Arial" w:eastAsia="MS Mincho" w:hAnsi="Arial" w:cs="Arial"/>
        </w:rPr>
      </w:pPr>
      <w:r w:rsidRPr="00C07667">
        <w:rPr>
          <w:rFonts w:ascii="Arial" w:eastAsia="MS Mincho" w:hAnsi="Arial" w:cs="Arial"/>
        </w:rPr>
        <w:t xml:space="preserve">Transportation and safe delivery of all materials shall be the contractor’s responsibility, in full compliance with all applicable federal, state and local regulations.  Clean up of any materials spilled or lost shall be the sole responsibility of the contractor.  Transportation charges shall be included in the unit price as stated herein.  </w:t>
      </w:r>
    </w:p>
    <w:p w:rsidR="00C73DD0" w:rsidRDefault="00DD7B85" w:rsidP="00DD7B85">
      <w:pPr>
        <w:pStyle w:val="PlainText"/>
        <w:numPr>
          <w:ilvl w:val="0"/>
          <w:numId w:val="12"/>
        </w:numPr>
        <w:jc w:val="both"/>
        <w:rPr>
          <w:rFonts w:ascii="Arial" w:eastAsia="MS Mincho" w:hAnsi="Arial" w:cs="Arial"/>
        </w:rPr>
      </w:pPr>
      <w:r w:rsidRPr="00C07667">
        <w:rPr>
          <w:rFonts w:ascii="Arial" w:eastAsia="MS Mincho" w:hAnsi="Arial" w:cs="Arial"/>
        </w:rPr>
        <w:t>Materials spilled through the truck, hose, connection to the City’s fitting, truck, or other places on the Contractor’s side of the delivery point, shall be cleaned up by the Contractor’s expense.  The Contractor shall reimburse any fines levied against the City as a result of such a spill.</w:t>
      </w:r>
    </w:p>
    <w:p w:rsidR="00DD7B85" w:rsidRPr="00C73DD0" w:rsidRDefault="00DD7B85" w:rsidP="00DD7B85">
      <w:pPr>
        <w:pStyle w:val="PlainText"/>
        <w:numPr>
          <w:ilvl w:val="0"/>
          <w:numId w:val="12"/>
        </w:numPr>
        <w:jc w:val="both"/>
        <w:rPr>
          <w:rFonts w:ascii="Arial" w:eastAsia="MS Mincho" w:hAnsi="Arial" w:cs="Arial"/>
        </w:rPr>
      </w:pPr>
      <w:r w:rsidRPr="00C73DD0">
        <w:rPr>
          <w:rFonts w:ascii="Arial" w:eastAsia="MS Mincho" w:hAnsi="Arial" w:cs="Arial"/>
        </w:rPr>
        <w:t xml:space="preserve">Deliveries may not be off-loaded unless Wastewater Treatment Plant staff or a designated person(s) is in attendance, and observes, as required by the facility’s Renewable Operating permit (Air Quality Permit).  The staff member in attendance shall be given a copy of </w:t>
      </w:r>
      <w:r w:rsidR="00657D38" w:rsidRPr="00C73DD0">
        <w:rPr>
          <w:rFonts w:ascii="Arial" w:eastAsia="MS Mincho" w:hAnsi="Arial" w:cs="Arial"/>
        </w:rPr>
        <w:t>the bill of lading, stating the gross, tare and n</w:t>
      </w:r>
      <w:r w:rsidRPr="00C73DD0">
        <w:rPr>
          <w:rFonts w:ascii="Arial" w:eastAsia="MS Mincho" w:hAnsi="Arial" w:cs="Arial"/>
        </w:rPr>
        <w:t>et weight of material delivered.  Loading slips without actual weights, illegible slips, or missing slips will be subject to verification by the Contractor, and may delay payment.</w:t>
      </w:r>
    </w:p>
    <w:p w:rsidR="00DD7B85" w:rsidRPr="00C07667" w:rsidRDefault="00DD7B85" w:rsidP="00DD7B85">
      <w:pPr>
        <w:pStyle w:val="PlainText"/>
        <w:jc w:val="both"/>
        <w:rPr>
          <w:rFonts w:ascii="Arial" w:eastAsia="MS Mincho" w:hAnsi="Arial" w:cs="Arial"/>
        </w:rPr>
      </w:pPr>
    </w:p>
    <w:p w:rsidR="00DD7B85" w:rsidRPr="00C07667" w:rsidRDefault="00DD7B85" w:rsidP="00DD7B85">
      <w:pPr>
        <w:pStyle w:val="PlainText"/>
        <w:ind w:left="360" w:hanging="360"/>
        <w:jc w:val="both"/>
        <w:rPr>
          <w:rFonts w:ascii="Arial" w:eastAsia="MS Mincho" w:hAnsi="Arial" w:cs="Arial"/>
          <w:b/>
          <w:bCs/>
        </w:rPr>
      </w:pPr>
      <w:r w:rsidRPr="00C07667">
        <w:rPr>
          <w:rFonts w:ascii="Arial" w:eastAsia="MS Mincho" w:hAnsi="Arial" w:cs="Arial"/>
          <w:b/>
          <w:bCs/>
        </w:rPr>
        <w:t>C.</w:t>
      </w:r>
      <w:r w:rsidRPr="00C07667">
        <w:rPr>
          <w:rFonts w:ascii="Arial" w:eastAsia="MS Mincho" w:hAnsi="Arial" w:cs="Arial"/>
          <w:b/>
          <w:bCs/>
        </w:rPr>
        <w:tab/>
        <w:t>Other Provisions</w:t>
      </w:r>
    </w:p>
    <w:p w:rsidR="00DD7B85" w:rsidRPr="00C07667" w:rsidRDefault="00DD7B85" w:rsidP="00DD7B85">
      <w:pPr>
        <w:pStyle w:val="PlainText"/>
        <w:jc w:val="both"/>
        <w:rPr>
          <w:rFonts w:ascii="Arial" w:eastAsia="MS Mincho" w:hAnsi="Arial" w:cs="Arial"/>
        </w:rPr>
      </w:pPr>
    </w:p>
    <w:p w:rsidR="00DD7B85" w:rsidRDefault="00DD7B85" w:rsidP="00DD7B85">
      <w:pPr>
        <w:pStyle w:val="PlainText"/>
        <w:numPr>
          <w:ilvl w:val="0"/>
          <w:numId w:val="13"/>
        </w:numPr>
        <w:jc w:val="both"/>
        <w:rPr>
          <w:rFonts w:ascii="Arial" w:eastAsia="MS Mincho" w:hAnsi="Arial" w:cs="Arial"/>
        </w:rPr>
      </w:pPr>
      <w:r w:rsidRPr="00C07667">
        <w:rPr>
          <w:rFonts w:ascii="Arial" w:eastAsia="MS Mincho" w:hAnsi="Arial" w:cs="Arial"/>
          <w:b/>
          <w:bCs/>
          <w:u w:val="single"/>
        </w:rPr>
        <w:t>Unacceptable Materials</w:t>
      </w:r>
      <w:r w:rsidRPr="00C07667">
        <w:rPr>
          <w:rFonts w:ascii="Arial" w:eastAsia="MS Mincho" w:hAnsi="Arial" w:cs="Arial"/>
        </w:rPr>
        <w:t xml:space="preserve"> - Materials delivered which fail to meet the specifications of the contract will be </w:t>
      </w:r>
      <w:r w:rsidR="00DB3B8D">
        <w:rPr>
          <w:rFonts w:ascii="Arial" w:eastAsia="MS Mincho" w:hAnsi="Arial" w:cs="Arial"/>
        </w:rPr>
        <w:t xml:space="preserve">either rejected prior to unloading or </w:t>
      </w:r>
      <w:r w:rsidRPr="00C07667">
        <w:rPr>
          <w:rFonts w:ascii="Arial" w:eastAsia="MS Mincho" w:hAnsi="Arial" w:cs="Arial"/>
        </w:rPr>
        <w:t>removed from the City's storage facility by the Contractor</w:t>
      </w:r>
      <w:r w:rsidR="00DB3B8D">
        <w:rPr>
          <w:rFonts w:ascii="Arial" w:eastAsia="MS Mincho" w:hAnsi="Arial" w:cs="Arial"/>
        </w:rPr>
        <w:t xml:space="preserve"> after unloading</w:t>
      </w:r>
      <w:r w:rsidRPr="00C07667">
        <w:rPr>
          <w:rFonts w:ascii="Arial" w:eastAsia="MS Mincho" w:hAnsi="Arial" w:cs="Arial"/>
        </w:rPr>
        <w:t>, along with any other stored materials which may have been diluted and/or contaminated by contact with the improper materials.  Improper materials that have been delivered will be completely removed within 24 hours of the Contractor receiving notification.  Dismantling and reassembling City facilities to allow removal shall be the Contractor’s responsibility and expense.  Replacement materials for the entire quantity of material removed shall be provided within 48 hours of the Contractor receiving notification.  Removed materials will be disposed of at the Contractor's expense and responsibility.  There shall be no charge to the City for unacceptable materials, including but not limited to:  repacking, shipping, inspection transportation.</w:t>
      </w:r>
    </w:p>
    <w:p w:rsidR="00DB3B8D" w:rsidRPr="00C07667" w:rsidRDefault="00DB3B8D" w:rsidP="00DB3B8D">
      <w:pPr>
        <w:pStyle w:val="PlainText"/>
        <w:ind w:left="720"/>
        <w:jc w:val="both"/>
        <w:rPr>
          <w:rFonts w:ascii="Arial" w:eastAsia="MS Mincho" w:hAnsi="Arial" w:cs="Arial"/>
        </w:rPr>
      </w:pPr>
      <w:r>
        <w:rPr>
          <w:rFonts w:ascii="Arial" w:eastAsia="MS Mincho" w:hAnsi="Arial" w:cs="Arial"/>
        </w:rPr>
        <w:t xml:space="preserve">The City also reserves the right to order replacement high calcium quicklime from another vendor if the Contract is unable to provide materials that meet the specification and or provide within a 48 hour timeframe.  </w:t>
      </w:r>
    </w:p>
    <w:p w:rsidR="00DD7B85" w:rsidRPr="00C07667" w:rsidRDefault="00DD7B85" w:rsidP="00DD7B85">
      <w:pPr>
        <w:pStyle w:val="PlainText"/>
        <w:ind w:left="720" w:hanging="360"/>
        <w:jc w:val="both"/>
        <w:rPr>
          <w:rFonts w:ascii="Arial" w:eastAsia="MS Mincho" w:hAnsi="Arial" w:cs="Arial"/>
        </w:rPr>
      </w:pPr>
      <w:r w:rsidRPr="00C07667">
        <w:rPr>
          <w:rFonts w:ascii="Arial" w:eastAsia="MS Mincho" w:hAnsi="Arial" w:cs="Arial"/>
          <w:b/>
          <w:bCs/>
        </w:rPr>
        <w:t>2.</w:t>
      </w:r>
      <w:r w:rsidRPr="00C07667">
        <w:rPr>
          <w:rFonts w:ascii="Arial" w:eastAsia="MS Mincho" w:hAnsi="Arial" w:cs="Arial"/>
          <w:b/>
          <w:bCs/>
        </w:rPr>
        <w:tab/>
      </w:r>
      <w:r w:rsidRPr="00C07667">
        <w:rPr>
          <w:rFonts w:ascii="Arial" w:eastAsia="MS Mincho" w:hAnsi="Arial" w:cs="Arial"/>
          <w:b/>
          <w:bCs/>
          <w:u w:val="single"/>
        </w:rPr>
        <w:t>Technical Assistance</w:t>
      </w:r>
      <w:r w:rsidRPr="00C07667">
        <w:rPr>
          <w:rFonts w:ascii="Arial" w:eastAsia="MS Mincho" w:hAnsi="Arial" w:cs="Arial"/>
        </w:rPr>
        <w:t xml:space="preserve"> - The Contractor shall have an available trained technical staff to provide information on the contents of the product, product quality control, specific product reactions, and product health and safety concerns.    In case the City encounters difficulty in handling or using the product, the Contractor shall provide knowledgeable personnel, upon request, to discuss the problem with the City in an attempt to find a solution.  The Contractor shall provide MSDS sheets as required and shall also provide specific, weatherproof and chemical resistant product warning labels and/or signs for the City's storage and off-loading facilities.</w:t>
      </w:r>
    </w:p>
    <w:p w:rsidR="00DD7B85" w:rsidRPr="00C07667" w:rsidRDefault="00DD7B85" w:rsidP="00DD7B85">
      <w:pPr>
        <w:pStyle w:val="PlainText"/>
        <w:ind w:left="720" w:hanging="360"/>
        <w:jc w:val="both"/>
        <w:rPr>
          <w:rFonts w:ascii="Arial" w:eastAsia="MS Mincho" w:hAnsi="Arial" w:cs="Arial"/>
        </w:rPr>
      </w:pPr>
    </w:p>
    <w:p w:rsidR="00DD7B85" w:rsidRPr="00C07667" w:rsidRDefault="00DD7B85" w:rsidP="00DD7B85">
      <w:pPr>
        <w:pStyle w:val="PlainText"/>
        <w:jc w:val="both"/>
        <w:rPr>
          <w:rFonts w:ascii="Arial" w:eastAsia="MS Mincho" w:hAnsi="Arial" w:cs="Arial"/>
          <w:sz w:val="18"/>
        </w:rPr>
      </w:pPr>
    </w:p>
    <w:p w:rsidR="00DD7B85" w:rsidRPr="00C07667" w:rsidRDefault="00DD7B85" w:rsidP="00DD7B85">
      <w:pPr>
        <w:pStyle w:val="PlainText"/>
        <w:jc w:val="center"/>
        <w:rPr>
          <w:rFonts w:ascii="Arial" w:eastAsia="MS Mincho" w:hAnsi="Arial" w:cs="Arial"/>
          <w:b/>
          <w:bCs/>
          <w:sz w:val="24"/>
        </w:rPr>
      </w:pPr>
      <w:r w:rsidRPr="00C07667">
        <w:rPr>
          <w:rFonts w:ascii="Arial" w:eastAsia="MS Mincho" w:hAnsi="Arial" w:cs="Arial"/>
          <w:sz w:val="18"/>
        </w:rPr>
        <w:br w:type="page"/>
      </w:r>
    </w:p>
    <w:p w:rsidR="00DD7B85" w:rsidRPr="00C07667" w:rsidRDefault="00DD7B85" w:rsidP="00DD7B85">
      <w:pPr>
        <w:pStyle w:val="PlainText"/>
        <w:rPr>
          <w:rFonts w:ascii="Arial" w:eastAsia="MS Mincho" w:hAnsi="Arial" w:cs="Arial"/>
          <w:sz w:val="18"/>
        </w:rPr>
      </w:pPr>
    </w:p>
    <w:p w:rsidR="00DD7B85" w:rsidRPr="00C07667" w:rsidRDefault="00DD7B85" w:rsidP="00DD7B85">
      <w:pPr>
        <w:pStyle w:val="PlainText"/>
        <w:jc w:val="center"/>
        <w:rPr>
          <w:rFonts w:ascii="Arial" w:eastAsia="MS Mincho" w:hAnsi="Arial" w:cs="Arial"/>
          <w:b/>
          <w:bCs/>
          <w:sz w:val="24"/>
        </w:rPr>
      </w:pPr>
      <w:r w:rsidRPr="00C07667">
        <w:rPr>
          <w:rFonts w:ascii="Arial" w:eastAsia="MS Mincho" w:hAnsi="Arial" w:cs="Arial"/>
          <w:b/>
          <w:bCs/>
          <w:sz w:val="24"/>
        </w:rPr>
        <w:t>PRICE SHEET</w:t>
      </w:r>
    </w:p>
    <w:p w:rsidR="00DD7B85" w:rsidRPr="00C07667" w:rsidRDefault="00DD7B85" w:rsidP="00DD7B85">
      <w:pPr>
        <w:pStyle w:val="PlainText"/>
        <w:rPr>
          <w:rFonts w:ascii="Arial" w:eastAsia="MS Mincho" w:hAnsi="Arial" w:cs="Arial"/>
          <w:sz w:val="18"/>
        </w:rPr>
      </w:pPr>
    </w:p>
    <w:p w:rsidR="001E5CDC"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DD7B85" w:rsidRDefault="00DD7B85" w:rsidP="00DD7B85">
      <w:pPr>
        <w:pStyle w:val="DWSty2"/>
        <w:tabs>
          <w:tab w:val="left" w:pos="540"/>
          <w:tab w:val="left" w:pos="3420"/>
          <w:tab w:val="left" w:pos="5040"/>
          <w:tab w:val="left" w:pos="5670"/>
          <w:tab w:val="left" w:pos="7020"/>
          <w:tab w:val="left" w:pos="8370"/>
        </w:tabs>
        <w:spacing w:line="240" w:lineRule="auto"/>
        <w:jc w:val="both"/>
        <w:rPr>
          <w:rFonts w:ascii="Arial" w:hAnsi="Arial"/>
          <w:b/>
          <w:bCs/>
          <w:szCs w:val="24"/>
        </w:rPr>
      </w:pPr>
      <w:r>
        <w:rPr>
          <w:rFonts w:ascii="Arial" w:hAnsi="Arial"/>
          <w:b/>
          <w:bCs/>
          <w:szCs w:val="24"/>
          <w:u w:val="single"/>
        </w:rPr>
        <w:t>Item</w:t>
      </w:r>
      <w:r>
        <w:rPr>
          <w:rFonts w:ascii="Arial" w:hAnsi="Arial"/>
          <w:b/>
          <w:bCs/>
          <w:szCs w:val="24"/>
          <w:u w:val="single"/>
        </w:rPr>
        <w:tab/>
        <w:t>Description</w:t>
      </w:r>
      <w:r>
        <w:rPr>
          <w:rFonts w:ascii="Arial" w:hAnsi="Arial"/>
          <w:b/>
          <w:bCs/>
          <w:szCs w:val="24"/>
        </w:rPr>
        <w:tab/>
      </w:r>
      <w:proofErr w:type="spellStart"/>
      <w:r>
        <w:rPr>
          <w:rFonts w:ascii="Arial" w:hAnsi="Arial"/>
          <w:b/>
          <w:bCs/>
          <w:szCs w:val="24"/>
          <w:u w:val="single"/>
        </w:rPr>
        <w:t>Qty</w:t>
      </w:r>
      <w:proofErr w:type="spellEnd"/>
      <w:r>
        <w:rPr>
          <w:rFonts w:ascii="Arial" w:hAnsi="Arial"/>
          <w:b/>
          <w:bCs/>
          <w:szCs w:val="24"/>
        </w:rPr>
        <w:tab/>
      </w:r>
      <w:r>
        <w:rPr>
          <w:rFonts w:ascii="Arial" w:hAnsi="Arial"/>
          <w:b/>
          <w:bCs/>
          <w:szCs w:val="24"/>
        </w:rPr>
        <w:tab/>
      </w:r>
      <w:r>
        <w:rPr>
          <w:rFonts w:ascii="Arial" w:hAnsi="Arial"/>
          <w:b/>
          <w:bCs/>
          <w:szCs w:val="24"/>
          <w:u w:val="single"/>
        </w:rPr>
        <w:t>Unit Price</w:t>
      </w:r>
      <w:r>
        <w:rPr>
          <w:rFonts w:ascii="Arial" w:hAnsi="Arial"/>
          <w:b/>
          <w:bCs/>
          <w:szCs w:val="24"/>
        </w:rPr>
        <w:tab/>
      </w:r>
      <w:r>
        <w:rPr>
          <w:rFonts w:ascii="Arial" w:hAnsi="Arial"/>
          <w:b/>
          <w:bCs/>
          <w:szCs w:val="24"/>
        </w:rPr>
        <w:tab/>
      </w:r>
      <w:r w:rsidR="008E7375">
        <w:rPr>
          <w:rFonts w:ascii="Arial" w:hAnsi="Arial"/>
          <w:b/>
          <w:bCs/>
          <w:szCs w:val="24"/>
          <w:u w:val="single"/>
        </w:rPr>
        <w:t>Total 1</w:t>
      </w:r>
      <w:r w:rsidR="008E7375" w:rsidRPr="008E7375">
        <w:rPr>
          <w:rFonts w:ascii="Arial" w:hAnsi="Arial"/>
          <w:b/>
          <w:bCs/>
          <w:szCs w:val="24"/>
          <w:u w:val="single"/>
          <w:vertAlign w:val="superscript"/>
        </w:rPr>
        <w:t>st</w:t>
      </w:r>
      <w:r w:rsidR="008E7375">
        <w:rPr>
          <w:rFonts w:ascii="Arial" w:hAnsi="Arial"/>
          <w:b/>
          <w:bCs/>
          <w:szCs w:val="24"/>
          <w:u w:val="single"/>
        </w:rPr>
        <w:t xml:space="preserve"> </w:t>
      </w:r>
      <w:r>
        <w:rPr>
          <w:rFonts w:ascii="Arial" w:hAnsi="Arial"/>
          <w:b/>
          <w:bCs/>
          <w:szCs w:val="24"/>
          <w:u w:val="single"/>
        </w:rPr>
        <w:t>Year Price</w:t>
      </w:r>
      <w:r>
        <w:rPr>
          <w:rFonts w:ascii="Arial" w:hAnsi="Arial"/>
          <w:b/>
          <w:bCs/>
          <w:szCs w:val="24"/>
        </w:rPr>
        <w:tab/>
      </w:r>
    </w:p>
    <w:p w:rsidR="00DD7B85" w:rsidRDefault="00DD7B85" w:rsidP="00DD7B85">
      <w:pPr>
        <w:pStyle w:val="DWSty2"/>
        <w:tabs>
          <w:tab w:val="left" w:pos="540"/>
          <w:tab w:val="left" w:pos="4140"/>
          <w:tab w:val="left" w:pos="5040"/>
          <w:tab w:val="left" w:pos="5670"/>
          <w:tab w:val="left" w:pos="7020"/>
          <w:tab w:val="left" w:pos="8370"/>
        </w:tabs>
        <w:spacing w:line="240" w:lineRule="auto"/>
        <w:jc w:val="both"/>
        <w:rPr>
          <w:rFonts w:ascii="Arial" w:hAnsi="Arial"/>
          <w:b/>
          <w:bCs/>
          <w:szCs w:val="24"/>
        </w:rPr>
      </w:pPr>
    </w:p>
    <w:p w:rsidR="00DD7B85" w:rsidRDefault="00DD7B85" w:rsidP="00DD7B85">
      <w:pPr>
        <w:pStyle w:val="DWSty2"/>
        <w:tabs>
          <w:tab w:val="left" w:pos="540"/>
          <w:tab w:val="left" w:pos="4140"/>
          <w:tab w:val="left" w:pos="5040"/>
          <w:tab w:val="left" w:pos="7020"/>
          <w:tab w:val="left" w:pos="9000"/>
        </w:tabs>
        <w:spacing w:line="240" w:lineRule="auto"/>
        <w:jc w:val="both"/>
        <w:rPr>
          <w:rFonts w:ascii="Arial" w:hAnsi="Arial"/>
          <w:b/>
          <w:bCs/>
          <w:szCs w:val="24"/>
        </w:rPr>
      </w:pPr>
    </w:p>
    <w:p w:rsidR="00B876FC" w:rsidRDefault="00DD7B85" w:rsidP="00B876FC">
      <w:pPr>
        <w:pStyle w:val="DWSty2"/>
        <w:tabs>
          <w:tab w:val="left" w:pos="540"/>
          <w:tab w:val="left" w:pos="3330"/>
          <w:tab w:val="left" w:pos="5040"/>
          <w:tab w:val="left" w:pos="5670"/>
          <w:tab w:val="left" w:pos="7020"/>
          <w:tab w:val="left" w:pos="8370"/>
        </w:tabs>
        <w:spacing w:line="240" w:lineRule="auto"/>
        <w:jc w:val="both"/>
        <w:rPr>
          <w:rFonts w:ascii="Arial" w:hAnsi="Arial"/>
          <w:sz w:val="20"/>
        </w:rPr>
      </w:pPr>
      <w:r>
        <w:rPr>
          <w:rFonts w:ascii="Arial" w:hAnsi="Arial"/>
          <w:b/>
          <w:szCs w:val="24"/>
        </w:rPr>
        <w:t>High Calcium Quicklime</w:t>
      </w:r>
      <w:r>
        <w:rPr>
          <w:rFonts w:ascii="Arial" w:hAnsi="Arial"/>
          <w:szCs w:val="24"/>
        </w:rPr>
        <w:t xml:space="preserve">   </w:t>
      </w:r>
      <w:r>
        <w:rPr>
          <w:rFonts w:ascii="Arial" w:hAnsi="Arial"/>
          <w:szCs w:val="24"/>
        </w:rPr>
        <w:tab/>
      </w:r>
      <w:r w:rsidRPr="00C07667">
        <w:rPr>
          <w:rFonts w:ascii="Arial" w:eastAsia="MS Mincho" w:hAnsi="Arial" w:cs="Arial"/>
          <w:b/>
          <w:bCs/>
        </w:rPr>
        <w:t>700 TONS</w:t>
      </w:r>
      <w:r>
        <w:rPr>
          <w:rFonts w:ascii="Arial" w:hAnsi="Arial"/>
          <w:szCs w:val="24"/>
        </w:rPr>
        <w:tab/>
        <w:t>x</w:t>
      </w:r>
      <w:r>
        <w:rPr>
          <w:rFonts w:ascii="Arial" w:hAnsi="Arial"/>
          <w:szCs w:val="24"/>
        </w:rPr>
        <w:tab/>
        <w:t>$__________   =</w:t>
      </w:r>
      <w:r>
        <w:rPr>
          <w:rFonts w:ascii="Arial" w:hAnsi="Arial"/>
          <w:szCs w:val="24"/>
        </w:rPr>
        <w:tab/>
        <w:t xml:space="preserve">$_______________ </w:t>
      </w:r>
      <w:r w:rsidR="00B876FC">
        <w:rPr>
          <w:rFonts w:ascii="Arial" w:hAnsi="Arial"/>
          <w:sz w:val="20"/>
        </w:rPr>
        <w:t xml:space="preserve">                   </w:t>
      </w:r>
    </w:p>
    <w:p w:rsidR="00DD7B85" w:rsidRPr="00B876FC" w:rsidRDefault="00B876FC" w:rsidP="00B876FC">
      <w:pPr>
        <w:pStyle w:val="DWSty2"/>
        <w:tabs>
          <w:tab w:val="left" w:pos="540"/>
          <w:tab w:val="left" w:pos="3330"/>
          <w:tab w:val="left" w:pos="5040"/>
          <w:tab w:val="left" w:pos="5670"/>
          <w:tab w:val="left" w:pos="7020"/>
          <w:tab w:val="left" w:pos="8370"/>
        </w:tabs>
        <w:spacing w:line="240" w:lineRule="auto"/>
        <w:jc w:val="both"/>
        <w:rPr>
          <w:rFonts w:ascii="Arial" w:hAnsi="Arial"/>
          <w:i/>
          <w:sz w:val="20"/>
        </w:rPr>
      </w:pPr>
      <w:r w:rsidRPr="00B876FC">
        <w:rPr>
          <w:rFonts w:ascii="Arial" w:hAnsi="Arial"/>
          <w:i/>
          <w:sz w:val="20"/>
        </w:rPr>
        <w:t xml:space="preserve">  *Unit price must be all-inclusive </w:t>
      </w:r>
    </w:p>
    <w:p w:rsidR="00B876FC" w:rsidRDefault="00B876FC" w:rsidP="00DD7B85">
      <w:pPr>
        <w:pStyle w:val="DWSty2"/>
        <w:tabs>
          <w:tab w:val="left" w:pos="540"/>
          <w:tab w:val="left" w:pos="4140"/>
          <w:tab w:val="left" w:pos="5040"/>
          <w:tab w:val="left" w:pos="7020"/>
          <w:tab w:val="left" w:pos="9000"/>
        </w:tabs>
        <w:spacing w:line="240" w:lineRule="auto"/>
        <w:jc w:val="both"/>
        <w:rPr>
          <w:rFonts w:ascii="Arial" w:hAnsi="Arial"/>
          <w:sz w:val="20"/>
        </w:rPr>
      </w:pPr>
    </w:p>
    <w:p w:rsidR="00DD7B85" w:rsidRDefault="00DD7B85" w:rsidP="00DD7B85">
      <w:pPr>
        <w:pStyle w:val="PlainText"/>
        <w:tabs>
          <w:tab w:val="left" w:pos="540"/>
        </w:tabs>
        <w:ind w:left="360"/>
        <w:jc w:val="center"/>
        <w:rPr>
          <w:rFonts w:ascii="Arial" w:hAnsi="Arial"/>
          <w:b/>
          <w:bCs/>
          <w:sz w:val="28"/>
          <w:szCs w:val="28"/>
        </w:rPr>
      </w:pPr>
    </w:p>
    <w:p w:rsidR="00DD7B85" w:rsidRDefault="00DD7B85" w:rsidP="00DD7B85">
      <w:pPr>
        <w:pStyle w:val="PlainText"/>
        <w:tabs>
          <w:tab w:val="left" w:pos="540"/>
        </w:tabs>
        <w:ind w:left="360"/>
        <w:jc w:val="center"/>
        <w:rPr>
          <w:rFonts w:ascii="Arial" w:hAnsi="Arial"/>
          <w:b/>
          <w:bCs/>
          <w:sz w:val="28"/>
          <w:szCs w:val="28"/>
        </w:rPr>
      </w:pPr>
    </w:p>
    <w:p w:rsidR="00DD7B85" w:rsidRDefault="00DD7B85" w:rsidP="00DD7B85">
      <w:pPr>
        <w:pStyle w:val="PlainText"/>
        <w:tabs>
          <w:tab w:val="left" w:pos="540"/>
        </w:tabs>
        <w:ind w:left="360"/>
        <w:jc w:val="center"/>
        <w:rPr>
          <w:rFonts w:ascii="Arial" w:hAnsi="Arial"/>
          <w:b/>
          <w:bCs/>
          <w:sz w:val="28"/>
          <w:szCs w:val="28"/>
        </w:rPr>
      </w:pPr>
    </w:p>
    <w:p w:rsidR="00DD7B85" w:rsidRDefault="00DD7B85" w:rsidP="00DD7B85">
      <w:pPr>
        <w:pStyle w:val="PlainText"/>
        <w:tabs>
          <w:tab w:val="left" w:pos="4500"/>
          <w:tab w:val="left" w:pos="7920"/>
          <w:tab w:val="right" w:pos="8460"/>
          <w:tab w:val="left" w:pos="8820"/>
          <w:tab w:val="left" w:pos="10080"/>
          <w:tab w:val="left" w:pos="12240"/>
        </w:tabs>
        <w:jc w:val="center"/>
        <w:rPr>
          <w:rFonts w:ascii="Arial" w:eastAsia="MS Mincho" w:hAnsi="Arial" w:cs="Arial"/>
          <w:b/>
          <w:bCs/>
          <w:sz w:val="28"/>
        </w:rPr>
      </w:pPr>
    </w:p>
    <w:p w:rsidR="00DD7B85" w:rsidRDefault="00DD7B85" w:rsidP="00DD7B85">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DD7B85" w:rsidRDefault="00DD7B85" w:rsidP="00DD7B85">
      <w:pPr>
        <w:pStyle w:val="PlainText"/>
        <w:tabs>
          <w:tab w:val="left" w:pos="4500"/>
          <w:tab w:val="left" w:pos="7920"/>
          <w:tab w:val="right" w:pos="8460"/>
          <w:tab w:val="left" w:pos="8820"/>
          <w:tab w:val="left" w:pos="10080"/>
          <w:tab w:val="left" w:pos="12240"/>
        </w:tabs>
        <w:rPr>
          <w:rFonts w:ascii="Arial" w:eastAsia="MS Mincho" w:hAnsi="Arial" w:cs="Arial"/>
          <w:b/>
          <w:bCs/>
          <w:sz w:val="22"/>
          <w:szCs w:val="22"/>
          <w:vertAlign w:val="subscript"/>
        </w:rPr>
      </w:pPr>
      <w:r>
        <w:rPr>
          <w:rFonts w:ascii="Arial" w:eastAsia="MS Mincho" w:hAnsi="Arial" w:cs="Arial"/>
          <w:b/>
          <w:bCs/>
          <w:sz w:val="22"/>
          <w:szCs w:val="22"/>
          <w:vertAlign w:val="subscript"/>
        </w:rPr>
        <w:t>~~~~~~~~~~~~~~~~~~~~~~~~~~~~~~~~~~~~~~~~~~~~~~~~~~~~~~~~~~~~~~~~~~~~~~~~~~~~~~~~~~~~~~~~~~~~~~~~~~~~~~~~~~~~~~~~~~~~~~~~~~~~~~~</w:t>
      </w:r>
    </w:p>
    <w:p w:rsidR="00DD7B85" w:rsidRPr="00DC0C3F" w:rsidRDefault="00DD7B85">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B876FC" w:rsidRDefault="00B876FC" w:rsidP="00B876FC">
      <w:pPr>
        <w:pStyle w:val="PlainText"/>
        <w:tabs>
          <w:tab w:val="left" w:pos="540"/>
        </w:tabs>
        <w:ind w:left="360"/>
        <w:rPr>
          <w:rFonts w:ascii="Arial" w:hAnsi="Arial"/>
          <w:b/>
          <w:bCs/>
          <w:sz w:val="28"/>
          <w:szCs w:val="28"/>
        </w:rPr>
      </w:pPr>
      <w:r>
        <w:rPr>
          <w:rFonts w:ascii="Arial" w:hAnsi="Arial" w:cs="Times New Roman"/>
          <w:b/>
          <w:sz w:val="24"/>
          <w:szCs w:val="24"/>
        </w:rPr>
        <w:t>24 Hour Emergency Contact Phone #___________________</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B876FC" w:rsidRPr="00B876FC" w:rsidRDefault="001E5CDC" w:rsidP="00B876F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r w:rsidR="00B876FC">
        <w:rPr>
          <w:rFonts w:ascii="Arial" w:eastAsia="MS Mincho" w:hAnsi="Arial" w:cs="Arial"/>
          <w:b/>
          <w:bCs/>
          <w:color w:val="262626" w:themeColor="text1" w:themeTint="D9"/>
          <w:szCs w:val="20"/>
        </w:rPr>
        <w:t xml:space="preserve">   </w:t>
      </w:r>
      <w:r w:rsidR="00B876FC" w:rsidRPr="009C5D7A">
        <w:rPr>
          <w:rFonts w:ascii="Arial" w:eastAsia="MS Mincho" w:hAnsi="Arial" w:cs="Arial"/>
          <w:b/>
          <w:bCs/>
          <w:color w:val="262626" w:themeColor="text1" w:themeTint="D9"/>
          <w:szCs w:val="20"/>
          <w:u w:val="single"/>
        </w:rPr>
        <w:t>No fuel surcharge allowed to be added to invoices.</w:t>
      </w:r>
      <w:r w:rsidR="00B876FC" w:rsidRPr="00B876FC">
        <w:rPr>
          <w:rFonts w:ascii="Arial" w:eastAsia="MS Mincho" w:hAnsi="Arial" w:cs="Arial"/>
          <w:b/>
          <w:bCs/>
          <w:color w:val="262626" w:themeColor="text1" w:themeTint="D9"/>
          <w:szCs w:val="20"/>
        </w:rPr>
        <w:t xml:space="preserve">  </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7F2F1A">
        <w:rPr>
          <w:rFonts w:ascii="Arial" w:eastAsia="MS Mincho" w:hAnsi="Arial" w:cs="Arial"/>
          <w:b/>
          <w:bCs/>
          <w:color w:val="262626" w:themeColor="text1" w:themeTint="D9"/>
          <w:sz w:val="22"/>
          <w:u w:val="single"/>
        </w:rPr>
        <w:t>2018-086B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1A" w:rsidRDefault="007F2F1A">
      <w:r>
        <w:separator/>
      </w:r>
    </w:p>
  </w:endnote>
  <w:endnote w:type="continuationSeparator" w:id="0">
    <w:p w:rsidR="007F2F1A" w:rsidRDefault="007F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1A" w:rsidRDefault="007F2F1A">
      <w:r>
        <w:separator/>
      </w:r>
    </w:p>
  </w:footnote>
  <w:footnote w:type="continuationSeparator" w:id="0">
    <w:p w:rsidR="007F2F1A" w:rsidRDefault="007F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7F2F1A">
      <w:rPr>
        <w:rFonts w:ascii="Arial" w:hAnsi="Arial" w:cs="Arial"/>
        <w:sz w:val="16"/>
      </w:rPr>
      <w:t xml:space="preserve"> 2018-086B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E7375">
      <w:rPr>
        <w:rStyle w:val="PageNumber"/>
        <w:rFonts w:ascii="Arial" w:hAnsi="Arial" w:cs="Arial"/>
        <w:noProof/>
        <w:sz w:val="16"/>
      </w:rPr>
      <w:t>10</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C2B4C">
      <w:rPr>
        <w:rStyle w:val="PageNumber"/>
        <w:rFonts w:ascii="Arial" w:hAnsi="Arial" w:cs="Arial"/>
        <w:noProof/>
        <w:sz w:val="16"/>
      </w:rPr>
      <w:t>11</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944891"/>
    <w:multiLevelType w:val="hybridMultilevel"/>
    <w:tmpl w:val="7B20146A"/>
    <w:lvl w:ilvl="0" w:tplc="8B8ACB52">
      <w:start w:val="2"/>
      <w:numFmt w:val="decimal"/>
      <w:lvlText w:val="%1."/>
      <w:lvlJc w:val="left"/>
      <w:pPr>
        <w:tabs>
          <w:tab w:val="num" w:pos="720"/>
        </w:tabs>
        <w:ind w:left="72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10F9A"/>
    <w:multiLevelType w:val="hybridMultilevel"/>
    <w:tmpl w:val="6B4C9D9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A423C7"/>
    <w:multiLevelType w:val="hybridMultilevel"/>
    <w:tmpl w:val="BFF6C282"/>
    <w:lvl w:ilvl="0" w:tplc="8F4E33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9"/>
  </w:num>
  <w:num w:numId="12">
    <w:abstractNumId w:val="5"/>
  </w:num>
  <w:num w:numId="13">
    <w:abstractNumId w:val="12"/>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1A"/>
    <w:rsid w:val="00010C92"/>
    <w:rsid w:val="0009746F"/>
    <w:rsid w:val="00097CCD"/>
    <w:rsid w:val="000B0831"/>
    <w:rsid w:val="000B5749"/>
    <w:rsid w:val="001012A6"/>
    <w:rsid w:val="00170A3C"/>
    <w:rsid w:val="001E5CDC"/>
    <w:rsid w:val="00247F82"/>
    <w:rsid w:val="002918BD"/>
    <w:rsid w:val="003B0925"/>
    <w:rsid w:val="003E7276"/>
    <w:rsid w:val="003F2CB3"/>
    <w:rsid w:val="00484D9B"/>
    <w:rsid w:val="004C2B4C"/>
    <w:rsid w:val="004E579C"/>
    <w:rsid w:val="004E658E"/>
    <w:rsid w:val="004E7D12"/>
    <w:rsid w:val="00535F44"/>
    <w:rsid w:val="005517BB"/>
    <w:rsid w:val="005779A3"/>
    <w:rsid w:val="005A3556"/>
    <w:rsid w:val="006021EA"/>
    <w:rsid w:val="006436F7"/>
    <w:rsid w:val="00657D38"/>
    <w:rsid w:val="006B4A7A"/>
    <w:rsid w:val="00751D8C"/>
    <w:rsid w:val="00772D02"/>
    <w:rsid w:val="00772D28"/>
    <w:rsid w:val="0077775E"/>
    <w:rsid w:val="00781EF5"/>
    <w:rsid w:val="007D22BC"/>
    <w:rsid w:val="007F2F1A"/>
    <w:rsid w:val="008B4F9F"/>
    <w:rsid w:val="008E288F"/>
    <w:rsid w:val="008E7375"/>
    <w:rsid w:val="00912C01"/>
    <w:rsid w:val="009932E3"/>
    <w:rsid w:val="009C165B"/>
    <w:rsid w:val="009C5D7A"/>
    <w:rsid w:val="009E0062"/>
    <w:rsid w:val="00A4480D"/>
    <w:rsid w:val="00A9771B"/>
    <w:rsid w:val="00AA1855"/>
    <w:rsid w:val="00AE497A"/>
    <w:rsid w:val="00B876FC"/>
    <w:rsid w:val="00C73DD0"/>
    <w:rsid w:val="00C84ECC"/>
    <w:rsid w:val="00C9535A"/>
    <w:rsid w:val="00CC08A0"/>
    <w:rsid w:val="00CF61B0"/>
    <w:rsid w:val="00D03DC4"/>
    <w:rsid w:val="00D05676"/>
    <w:rsid w:val="00D06AA4"/>
    <w:rsid w:val="00D7743E"/>
    <w:rsid w:val="00D77803"/>
    <w:rsid w:val="00D93966"/>
    <w:rsid w:val="00DB3B8D"/>
    <w:rsid w:val="00DC0C3F"/>
    <w:rsid w:val="00DD7B85"/>
    <w:rsid w:val="00F07AAC"/>
    <w:rsid w:val="00F11D15"/>
    <w:rsid w:val="00F228AC"/>
    <w:rsid w:val="00F34F95"/>
    <w:rsid w:val="00F43E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432341DC"/>
  <w15:docId w15:val="{534BF8F0-209C-4807-A27D-954D0925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7C67-3616-420B-974C-43333FE6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85</TotalTime>
  <Pages>11</Pages>
  <Words>5770</Words>
  <Characters>31486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37182</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14</cp:revision>
  <cp:lastPrinted>2016-03-23T16:19:00Z</cp:lastPrinted>
  <dcterms:created xsi:type="dcterms:W3CDTF">2018-05-22T14:23:00Z</dcterms:created>
  <dcterms:modified xsi:type="dcterms:W3CDTF">2018-05-29T13:33:00Z</dcterms:modified>
</cp:coreProperties>
</file>