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F59" w:rsidRDefault="005A630D" w:rsidP="00226222">
      <w:pPr>
        <w:ind w:left="-1008"/>
        <w:jc w:val="center"/>
        <w:rPr>
          <w:b/>
        </w:rPr>
      </w:pPr>
      <w:r>
        <w:rPr>
          <w:noProof/>
        </w:rPr>
        <mc:AlternateContent>
          <mc:Choice Requires="wps">
            <w:drawing>
              <wp:anchor distT="0" distB="0" distL="114300" distR="114300" simplePos="0" relativeHeight="251658240" behindDoc="0" locked="0" layoutInCell="1" allowOverlap="1">
                <wp:simplePos x="0" y="0"/>
                <wp:positionH relativeFrom="column">
                  <wp:posOffset>1475740</wp:posOffset>
                </wp:positionH>
                <wp:positionV relativeFrom="paragraph">
                  <wp:posOffset>9525</wp:posOffset>
                </wp:positionV>
                <wp:extent cx="4410075" cy="604520"/>
                <wp:effectExtent l="0" t="0" r="28575" b="24765"/>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604520"/>
                        </a:xfrm>
                        <a:prstGeom prst="rect">
                          <a:avLst/>
                        </a:prstGeom>
                        <a:solidFill>
                          <a:srgbClr val="FFFFFF"/>
                        </a:solidFill>
                        <a:ln w="9525">
                          <a:solidFill>
                            <a:srgbClr val="000000"/>
                          </a:solidFill>
                          <a:miter lim="800000"/>
                          <a:headEnd/>
                          <a:tailEnd/>
                        </a:ln>
                      </wps:spPr>
                      <wps:txbx>
                        <w:txbxContent>
                          <w:p w:rsidR="00B5280A" w:rsidRPr="00B5280A" w:rsidRDefault="00B5280A" w:rsidP="00B5280A">
                            <w:pPr>
                              <w:rPr>
                                <w:rFonts w:ascii="Century" w:hAnsi="Century"/>
                                <w:b/>
                                <w:sz w:val="22"/>
                                <w:szCs w:val="22"/>
                              </w:rPr>
                            </w:pPr>
                            <w:r w:rsidRPr="00B5280A">
                              <w:rPr>
                                <w:rFonts w:ascii="Century" w:hAnsi="Century"/>
                                <w:b/>
                                <w:sz w:val="22"/>
                                <w:szCs w:val="22"/>
                              </w:rPr>
                              <w:t xml:space="preserve">Request </w:t>
                            </w:r>
                            <w:r w:rsidR="006406BA" w:rsidRPr="00B5280A">
                              <w:rPr>
                                <w:rFonts w:ascii="Century" w:hAnsi="Century"/>
                                <w:b/>
                                <w:sz w:val="22"/>
                                <w:szCs w:val="22"/>
                              </w:rPr>
                              <w:t>for</w:t>
                            </w:r>
                            <w:r w:rsidRPr="00B5280A">
                              <w:rPr>
                                <w:rFonts w:ascii="Century" w:hAnsi="Century"/>
                                <w:b/>
                                <w:sz w:val="22"/>
                                <w:szCs w:val="22"/>
                              </w:rPr>
                              <w:t xml:space="preserve"> </w:t>
                            </w:r>
                            <w:r w:rsidR="00226222">
                              <w:rPr>
                                <w:rFonts w:ascii="Century" w:hAnsi="Century"/>
                                <w:b/>
                                <w:sz w:val="22"/>
                                <w:szCs w:val="22"/>
                              </w:rPr>
                              <w:t>Qualifications</w:t>
                            </w:r>
                            <w:r w:rsidR="005A630D">
                              <w:rPr>
                                <w:rFonts w:ascii="Century" w:hAnsi="Century"/>
                                <w:b/>
                                <w:sz w:val="22"/>
                                <w:szCs w:val="22"/>
                              </w:rPr>
                              <w:t xml:space="preserve"> – </w:t>
                            </w:r>
                            <w:r w:rsidR="00A63069">
                              <w:rPr>
                                <w:rFonts w:ascii="Century" w:hAnsi="Century"/>
                                <w:b/>
                                <w:sz w:val="22"/>
                                <w:szCs w:val="22"/>
                              </w:rPr>
                              <w:t>Investment Services</w:t>
                            </w:r>
                            <w:r w:rsidR="00226222">
                              <w:rPr>
                                <w:rFonts w:ascii="Century" w:hAnsi="Century"/>
                                <w:b/>
                                <w:sz w:val="22"/>
                                <w:szCs w:val="22"/>
                              </w:rPr>
                              <w:t xml:space="preserve"> </w:t>
                            </w:r>
                          </w:p>
                          <w:p w:rsidR="000A5B94" w:rsidRPr="00B5280A" w:rsidRDefault="00B5280A" w:rsidP="00B5280A">
                            <w:pPr>
                              <w:rPr>
                                <w:rFonts w:ascii="Century" w:hAnsi="Century"/>
                                <w:b/>
                                <w:sz w:val="22"/>
                                <w:szCs w:val="22"/>
                              </w:rPr>
                            </w:pPr>
                            <w:r w:rsidRPr="00B5280A">
                              <w:rPr>
                                <w:rFonts w:ascii="Century" w:hAnsi="Century"/>
                                <w:b/>
                                <w:sz w:val="22"/>
                                <w:szCs w:val="22"/>
                              </w:rPr>
                              <w:t xml:space="preserve">Solicitation # </w:t>
                            </w:r>
                            <w:r w:rsidR="000A5B94">
                              <w:rPr>
                                <w:rFonts w:ascii="Century" w:hAnsi="Century"/>
                                <w:b/>
                                <w:sz w:val="22"/>
                                <w:szCs w:val="22"/>
                              </w:rPr>
                              <w:t>415-0119-14</w:t>
                            </w:r>
                          </w:p>
                          <w:p w:rsidR="00B5280A" w:rsidRPr="00B5280A" w:rsidRDefault="00850C62" w:rsidP="00B5280A">
                            <w:pPr>
                              <w:rPr>
                                <w:rFonts w:ascii="Century" w:hAnsi="Century"/>
                                <w:b/>
                                <w:sz w:val="22"/>
                                <w:szCs w:val="22"/>
                              </w:rPr>
                            </w:pPr>
                            <w:r>
                              <w:rPr>
                                <w:rFonts w:ascii="Century" w:hAnsi="Century"/>
                                <w:b/>
                                <w:sz w:val="22"/>
                                <w:szCs w:val="22"/>
                              </w:rPr>
                              <w:t>January</w:t>
                            </w:r>
                            <w:r w:rsidR="00A63069">
                              <w:rPr>
                                <w:rFonts w:ascii="Century" w:hAnsi="Century"/>
                                <w:b/>
                                <w:sz w:val="22"/>
                                <w:szCs w:val="22"/>
                              </w:rPr>
                              <w:t xml:space="preserve"> </w:t>
                            </w:r>
                            <w:r>
                              <w:rPr>
                                <w:rFonts w:ascii="Century" w:hAnsi="Century"/>
                                <w:b/>
                                <w:sz w:val="22"/>
                                <w:szCs w:val="22"/>
                              </w:rPr>
                              <w:t>2</w:t>
                            </w:r>
                            <w:r w:rsidR="005A652C">
                              <w:rPr>
                                <w:rFonts w:ascii="Century" w:hAnsi="Century"/>
                                <w:b/>
                                <w:sz w:val="22"/>
                                <w:szCs w:val="22"/>
                              </w:rPr>
                              <w:t>, 201</w:t>
                            </w:r>
                            <w:r>
                              <w:rPr>
                                <w:rFonts w:ascii="Century" w:hAnsi="Century"/>
                                <w:b/>
                                <w:sz w:val="22"/>
                                <w:szCs w:val="22"/>
                              </w:rPr>
                              <w:t>9</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16.2pt;margin-top:.75pt;width:347.25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">
                <v:textbox style="mso-fit-shape-to-text:t">
                  <w:txbxContent>
                    <w:p w:rsidR="00B5280A" w:rsidRPr="00B5280A" w:rsidRDefault="00B5280A" w:rsidP="00B5280A">
                      <w:pPr>
                        <w:rPr>
                          <w:rFonts w:ascii="Century" w:hAnsi="Century"/>
                          <w:b/>
                          <w:sz w:val="22"/>
                          <w:szCs w:val="22"/>
                        </w:rPr>
                      </w:pPr>
                      <w:r w:rsidRPr="00B5280A">
                        <w:rPr>
                          <w:rFonts w:ascii="Century" w:hAnsi="Century"/>
                          <w:b/>
                          <w:sz w:val="22"/>
                          <w:szCs w:val="22"/>
                        </w:rPr>
                        <w:t xml:space="preserve">Request </w:t>
                      </w:r>
                      <w:r w:rsidR="006406BA" w:rsidRPr="00B5280A">
                        <w:rPr>
                          <w:rFonts w:ascii="Century" w:hAnsi="Century"/>
                          <w:b/>
                          <w:sz w:val="22"/>
                          <w:szCs w:val="22"/>
                        </w:rPr>
                        <w:t>for</w:t>
                      </w:r>
                      <w:r w:rsidRPr="00B5280A">
                        <w:rPr>
                          <w:rFonts w:ascii="Century" w:hAnsi="Century"/>
                          <w:b/>
                          <w:sz w:val="22"/>
                          <w:szCs w:val="22"/>
                        </w:rPr>
                        <w:t xml:space="preserve"> </w:t>
                      </w:r>
                      <w:r w:rsidR="00226222">
                        <w:rPr>
                          <w:rFonts w:ascii="Century" w:hAnsi="Century"/>
                          <w:b/>
                          <w:sz w:val="22"/>
                          <w:szCs w:val="22"/>
                        </w:rPr>
                        <w:t>Qualifications</w:t>
                      </w:r>
                      <w:r w:rsidR="005A630D">
                        <w:rPr>
                          <w:rFonts w:ascii="Century" w:hAnsi="Century"/>
                          <w:b/>
                          <w:sz w:val="22"/>
                          <w:szCs w:val="22"/>
                        </w:rPr>
                        <w:t xml:space="preserve"> – </w:t>
                      </w:r>
                      <w:r w:rsidR="00A63069">
                        <w:rPr>
                          <w:rFonts w:ascii="Century" w:hAnsi="Century"/>
                          <w:b/>
                          <w:sz w:val="22"/>
                          <w:szCs w:val="22"/>
                        </w:rPr>
                        <w:t>Investment Services</w:t>
                      </w:r>
                      <w:r w:rsidR="00226222">
                        <w:rPr>
                          <w:rFonts w:ascii="Century" w:hAnsi="Century"/>
                          <w:b/>
                          <w:sz w:val="22"/>
                          <w:szCs w:val="22"/>
                        </w:rPr>
                        <w:t xml:space="preserve"> </w:t>
                      </w:r>
                    </w:p>
                    <w:p w:rsidR="000A5B94" w:rsidRPr="00B5280A" w:rsidRDefault="00B5280A" w:rsidP="00B5280A">
                      <w:pPr>
                        <w:rPr>
                          <w:rFonts w:ascii="Century" w:hAnsi="Century"/>
                          <w:b/>
                          <w:sz w:val="22"/>
                          <w:szCs w:val="22"/>
                        </w:rPr>
                      </w:pPr>
                      <w:r w:rsidRPr="00B5280A">
                        <w:rPr>
                          <w:rFonts w:ascii="Century" w:hAnsi="Century"/>
                          <w:b/>
                          <w:sz w:val="22"/>
                          <w:szCs w:val="22"/>
                        </w:rPr>
                        <w:t xml:space="preserve">Solicitation # </w:t>
                      </w:r>
                      <w:r w:rsidR="000A5B94">
                        <w:rPr>
                          <w:rFonts w:ascii="Century" w:hAnsi="Century"/>
                          <w:b/>
                          <w:sz w:val="22"/>
                          <w:szCs w:val="22"/>
                        </w:rPr>
                        <w:t>415-0119-14</w:t>
                      </w:r>
                    </w:p>
                    <w:p w:rsidR="00B5280A" w:rsidRPr="00B5280A" w:rsidRDefault="00850C62" w:rsidP="00B5280A">
                      <w:pPr>
                        <w:rPr>
                          <w:rFonts w:ascii="Century" w:hAnsi="Century"/>
                          <w:b/>
                          <w:sz w:val="22"/>
                          <w:szCs w:val="22"/>
                        </w:rPr>
                      </w:pPr>
                      <w:r>
                        <w:rPr>
                          <w:rFonts w:ascii="Century" w:hAnsi="Century"/>
                          <w:b/>
                          <w:sz w:val="22"/>
                          <w:szCs w:val="22"/>
                        </w:rPr>
                        <w:t>January</w:t>
                      </w:r>
                      <w:r w:rsidR="00A63069">
                        <w:rPr>
                          <w:rFonts w:ascii="Century" w:hAnsi="Century"/>
                          <w:b/>
                          <w:sz w:val="22"/>
                          <w:szCs w:val="22"/>
                        </w:rPr>
                        <w:t xml:space="preserve"> </w:t>
                      </w:r>
                      <w:r>
                        <w:rPr>
                          <w:rFonts w:ascii="Century" w:hAnsi="Century"/>
                          <w:b/>
                          <w:sz w:val="22"/>
                          <w:szCs w:val="22"/>
                        </w:rPr>
                        <w:t>2</w:t>
                      </w:r>
                      <w:r w:rsidR="005A652C">
                        <w:rPr>
                          <w:rFonts w:ascii="Century" w:hAnsi="Century"/>
                          <w:b/>
                          <w:sz w:val="22"/>
                          <w:szCs w:val="22"/>
                        </w:rPr>
                        <w:t>, 201</w:t>
                      </w:r>
                      <w:r>
                        <w:rPr>
                          <w:rFonts w:ascii="Century" w:hAnsi="Century"/>
                          <w:b/>
                          <w:sz w:val="22"/>
                          <w:szCs w:val="22"/>
                        </w:rPr>
                        <w:t>9</w:t>
                      </w:r>
                    </w:p>
                  </w:txbxContent>
                </v:textbox>
                <w10:wrap type="square"/>
              </v:shape>
            </w:pict>
          </mc:Fallback>
        </mc:AlternateContent>
      </w:r>
      <w:r w:rsidR="00226222">
        <w:rPr>
          <w:b/>
          <w:noProof/>
        </w:rPr>
        <w:drawing>
          <wp:inline distT="0" distB="0" distL="0" distR="0" wp14:anchorId="453A3123" wp14:editId="647BEA92">
            <wp:extent cx="601980" cy="733423"/>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356" cy="744846"/>
                    </a:xfrm>
                    <a:prstGeom prst="rect">
                      <a:avLst/>
                    </a:prstGeom>
                  </pic:spPr>
                </pic:pic>
              </a:graphicData>
            </a:graphic>
          </wp:inline>
        </w:drawing>
      </w:r>
    </w:p>
    <w:p w:rsidR="00B5280A" w:rsidRDefault="00B5280A">
      <w:pPr>
        <w:jc w:val="center"/>
        <w:rPr>
          <w:b/>
        </w:rPr>
      </w:pPr>
    </w:p>
    <w:p w:rsidR="00B5280A" w:rsidRPr="00E675EE" w:rsidRDefault="00B5280A">
      <w:pPr>
        <w:rPr>
          <w:b/>
          <w:sz w:val="22"/>
          <w:szCs w:val="22"/>
          <w:u w:val="single"/>
        </w:rPr>
      </w:pPr>
      <w:r w:rsidRPr="00E675EE">
        <w:rPr>
          <w:b/>
          <w:sz w:val="22"/>
          <w:szCs w:val="22"/>
          <w:u w:val="single"/>
        </w:rPr>
        <w:t>Introduction</w:t>
      </w:r>
    </w:p>
    <w:p w:rsidR="0034143B" w:rsidRPr="00E675EE" w:rsidRDefault="0034143B" w:rsidP="0034143B">
      <w:pPr>
        <w:pStyle w:val="NormalWeb"/>
        <w:jc w:val="both"/>
        <w:rPr>
          <w:sz w:val="22"/>
          <w:szCs w:val="22"/>
        </w:rPr>
      </w:pPr>
      <w:r w:rsidRPr="00E675EE">
        <w:rPr>
          <w:sz w:val="22"/>
          <w:szCs w:val="22"/>
        </w:rPr>
        <w:t xml:space="preserve">The City of Columbia, located in Maury County, Tennessee, is interested in establishing a relationship with a qualified financial advisory services firm to manage and guide the growth of the City’s investment portfolio. Respondents to this (RFQ) will receive consideration during the City’s selection process, which seeks to identify a firm or institution </w:t>
      </w:r>
      <w:r w:rsidR="00850C62">
        <w:rPr>
          <w:sz w:val="22"/>
          <w:szCs w:val="22"/>
        </w:rPr>
        <w:t>to</w:t>
      </w:r>
      <w:r w:rsidRPr="00E675EE">
        <w:rPr>
          <w:sz w:val="22"/>
          <w:szCs w:val="22"/>
        </w:rPr>
        <w:t xml:space="preserve"> oversee a portion of the City’s financial assets. </w:t>
      </w:r>
    </w:p>
    <w:p w:rsidR="00D77DDF" w:rsidRPr="00E675EE" w:rsidRDefault="00AE4B38" w:rsidP="0034143B">
      <w:pPr>
        <w:pStyle w:val="NormalWeb"/>
        <w:jc w:val="both"/>
        <w:rPr>
          <w:b/>
          <w:sz w:val="22"/>
          <w:szCs w:val="22"/>
        </w:rPr>
      </w:pPr>
      <w:r w:rsidRPr="00E675EE">
        <w:rPr>
          <w:sz w:val="22"/>
          <w:szCs w:val="22"/>
        </w:rPr>
        <w:t>Pro</w:t>
      </w:r>
      <w:r w:rsidR="005A652C" w:rsidRPr="00E675EE">
        <w:rPr>
          <w:sz w:val="22"/>
          <w:szCs w:val="22"/>
        </w:rPr>
        <w:t>posals will be received in the c</w:t>
      </w:r>
      <w:r w:rsidRPr="00E675EE">
        <w:rPr>
          <w:sz w:val="22"/>
          <w:szCs w:val="22"/>
        </w:rPr>
        <w:t>ity</w:t>
      </w:r>
      <w:r w:rsidR="005A652C" w:rsidRPr="00E675EE">
        <w:rPr>
          <w:sz w:val="22"/>
          <w:szCs w:val="22"/>
        </w:rPr>
        <w:t>’s</w:t>
      </w:r>
      <w:r w:rsidRPr="00E675EE">
        <w:rPr>
          <w:sz w:val="22"/>
          <w:szCs w:val="22"/>
        </w:rPr>
        <w:t xml:space="preserve"> </w:t>
      </w:r>
      <w:r w:rsidR="005A652C" w:rsidRPr="00E675EE">
        <w:rPr>
          <w:sz w:val="22"/>
          <w:szCs w:val="22"/>
        </w:rPr>
        <w:t>Finance</w:t>
      </w:r>
      <w:r w:rsidR="00F52EFC" w:rsidRPr="00E675EE">
        <w:rPr>
          <w:sz w:val="22"/>
          <w:szCs w:val="22"/>
        </w:rPr>
        <w:t xml:space="preserve"> Office</w:t>
      </w:r>
      <w:r w:rsidRPr="00E675EE">
        <w:rPr>
          <w:sz w:val="22"/>
          <w:szCs w:val="22"/>
        </w:rPr>
        <w:t>, City Hall</w:t>
      </w:r>
      <w:r w:rsidR="005A652C" w:rsidRPr="00E675EE">
        <w:rPr>
          <w:sz w:val="22"/>
          <w:szCs w:val="22"/>
        </w:rPr>
        <w:t xml:space="preserve"> (3</w:t>
      </w:r>
      <w:r w:rsidR="005A652C" w:rsidRPr="00E675EE">
        <w:rPr>
          <w:sz w:val="22"/>
          <w:szCs w:val="22"/>
          <w:vertAlign w:val="superscript"/>
        </w:rPr>
        <w:t>rd</w:t>
      </w:r>
      <w:r w:rsidR="005A652C" w:rsidRPr="00E675EE">
        <w:rPr>
          <w:sz w:val="22"/>
          <w:szCs w:val="22"/>
        </w:rPr>
        <w:t xml:space="preserve"> Floor)</w:t>
      </w:r>
      <w:r w:rsidRPr="00E675EE">
        <w:rPr>
          <w:sz w:val="22"/>
          <w:szCs w:val="22"/>
        </w:rPr>
        <w:t xml:space="preserve">, until </w:t>
      </w:r>
      <w:r w:rsidR="0034143B" w:rsidRPr="00E675EE">
        <w:rPr>
          <w:sz w:val="22"/>
          <w:szCs w:val="22"/>
        </w:rPr>
        <w:t>Wednesday, January 23</w:t>
      </w:r>
      <w:r w:rsidR="005A652C" w:rsidRPr="00E675EE">
        <w:rPr>
          <w:sz w:val="22"/>
          <w:szCs w:val="22"/>
        </w:rPr>
        <w:t>, 201</w:t>
      </w:r>
      <w:r w:rsidR="0034143B" w:rsidRPr="00E675EE">
        <w:rPr>
          <w:sz w:val="22"/>
          <w:szCs w:val="22"/>
        </w:rPr>
        <w:t>9</w:t>
      </w:r>
      <w:r w:rsidRPr="00E675EE">
        <w:rPr>
          <w:sz w:val="22"/>
          <w:szCs w:val="22"/>
        </w:rPr>
        <w:t xml:space="preserve"> </w:t>
      </w:r>
      <w:r w:rsidR="00F64C1C">
        <w:rPr>
          <w:sz w:val="22"/>
          <w:szCs w:val="22"/>
        </w:rPr>
        <w:t xml:space="preserve">at 2 p.m., </w:t>
      </w:r>
      <w:r w:rsidRPr="00E675EE">
        <w:rPr>
          <w:sz w:val="22"/>
          <w:szCs w:val="22"/>
        </w:rPr>
        <w:t>but no later.</w:t>
      </w:r>
      <w:r w:rsidR="00D77DDF" w:rsidRPr="00E675EE">
        <w:rPr>
          <w:sz w:val="22"/>
          <w:szCs w:val="22"/>
        </w:rPr>
        <w:t xml:space="preserve"> Time is of the essence and any proposal received after the announced time and date for submittal, whether by mail or otherwise, will be rejected. The time of receipt shall be determined by </w:t>
      </w:r>
      <w:r w:rsidR="0034143B" w:rsidRPr="00E675EE">
        <w:rPr>
          <w:sz w:val="22"/>
          <w:szCs w:val="22"/>
        </w:rPr>
        <w:t>Purchasing Agent</w:t>
      </w:r>
      <w:r w:rsidR="00D77DDF" w:rsidRPr="00E675EE">
        <w:rPr>
          <w:sz w:val="22"/>
          <w:szCs w:val="22"/>
        </w:rPr>
        <w:t xml:space="preserve">. Proposers are responsible for ensuring that their proposals are stamped by </w:t>
      </w:r>
      <w:r w:rsidR="005A652C" w:rsidRPr="00E675EE">
        <w:rPr>
          <w:sz w:val="22"/>
          <w:szCs w:val="22"/>
        </w:rPr>
        <w:t xml:space="preserve">Finance Department </w:t>
      </w:r>
      <w:r w:rsidR="00D77DDF" w:rsidRPr="00E675EE">
        <w:rPr>
          <w:sz w:val="22"/>
          <w:szCs w:val="22"/>
        </w:rPr>
        <w:t xml:space="preserve">personnel before the deadline indicated. Late proposals received will be so noted in the file and the proposal will be returned unopened. </w:t>
      </w:r>
      <w:r w:rsidR="00D77DDF" w:rsidRPr="00CB5840">
        <w:rPr>
          <w:b/>
          <w:sz w:val="22"/>
          <w:szCs w:val="22"/>
        </w:rPr>
        <w:t>Faxed or e-mailed proposals will not be accepted.</w:t>
      </w:r>
    </w:p>
    <w:p w:rsidR="00AE4B38" w:rsidRPr="00E675EE" w:rsidRDefault="00AE4B38" w:rsidP="0034143B">
      <w:pPr>
        <w:pStyle w:val="NormalWeb"/>
        <w:jc w:val="both"/>
        <w:rPr>
          <w:sz w:val="22"/>
          <w:szCs w:val="22"/>
        </w:rPr>
      </w:pPr>
      <w:r w:rsidRPr="00E675EE">
        <w:rPr>
          <w:sz w:val="22"/>
          <w:szCs w:val="22"/>
        </w:rPr>
        <w:t xml:space="preserve">If you are an individual with a disability and require a reasonable accommodation or have additional questions regarding this invitation, please notify the </w:t>
      </w:r>
      <w:r w:rsidR="0034143B" w:rsidRPr="00E675EE">
        <w:rPr>
          <w:sz w:val="22"/>
          <w:szCs w:val="22"/>
        </w:rPr>
        <w:t xml:space="preserve">Purchasing Agent </w:t>
      </w:r>
      <w:r w:rsidRPr="00E675EE">
        <w:rPr>
          <w:sz w:val="22"/>
          <w:szCs w:val="22"/>
        </w:rPr>
        <w:t>at (931) 560-15</w:t>
      </w:r>
      <w:r w:rsidR="005A396A" w:rsidRPr="00E675EE">
        <w:rPr>
          <w:sz w:val="22"/>
          <w:szCs w:val="22"/>
        </w:rPr>
        <w:t>76</w:t>
      </w:r>
      <w:r w:rsidRPr="00E675EE">
        <w:rPr>
          <w:sz w:val="22"/>
          <w:szCs w:val="22"/>
        </w:rPr>
        <w:t>.</w:t>
      </w:r>
    </w:p>
    <w:p w:rsidR="00E675EE" w:rsidRPr="00E675EE" w:rsidRDefault="00E675EE" w:rsidP="00E675EE">
      <w:pPr>
        <w:pStyle w:val="NormalWeb"/>
        <w:jc w:val="both"/>
        <w:rPr>
          <w:b/>
          <w:sz w:val="22"/>
          <w:szCs w:val="22"/>
          <w:u w:val="single"/>
        </w:rPr>
      </w:pPr>
      <w:r w:rsidRPr="00E675EE">
        <w:rPr>
          <w:b/>
          <w:sz w:val="22"/>
          <w:szCs w:val="22"/>
          <w:u w:val="single"/>
        </w:rPr>
        <w:t>Background Information</w:t>
      </w:r>
    </w:p>
    <w:p w:rsidR="00E675EE" w:rsidRPr="00E675EE" w:rsidRDefault="00E675EE" w:rsidP="00E675EE">
      <w:pPr>
        <w:pStyle w:val="NormalWeb"/>
        <w:jc w:val="both"/>
        <w:rPr>
          <w:sz w:val="22"/>
          <w:szCs w:val="22"/>
        </w:rPr>
      </w:pPr>
      <w:r w:rsidRPr="00E675EE">
        <w:rPr>
          <w:sz w:val="22"/>
          <w:szCs w:val="22"/>
        </w:rPr>
        <w:t xml:space="preserve">The City of </w:t>
      </w:r>
      <w:r>
        <w:rPr>
          <w:sz w:val="22"/>
          <w:szCs w:val="22"/>
        </w:rPr>
        <w:t>Columbia</w:t>
      </w:r>
      <w:r w:rsidRPr="00E675EE">
        <w:rPr>
          <w:sz w:val="22"/>
          <w:szCs w:val="22"/>
        </w:rPr>
        <w:t xml:space="preserve"> is a </w:t>
      </w:r>
      <w:r>
        <w:rPr>
          <w:sz w:val="22"/>
          <w:szCs w:val="22"/>
        </w:rPr>
        <w:t>private act</w:t>
      </w:r>
      <w:r w:rsidRPr="00E675EE">
        <w:rPr>
          <w:sz w:val="22"/>
          <w:szCs w:val="22"/>
        </w:rPr>
        <w:t xml:space="preserve"> municipality operating under the laws of the State of T</w:t>
      </w:r>
      <w:r>
        <w:rPr>
          <w:sz w:val="22"/>
          <w:szCs w:val="22"/>
        </w:rPr>
        <w:t>ennessee</w:t>
      </w:r>
      <w:r w:rsidRPr="00E675EE">
        <w:rPr>
          <w:sz w:val="22"/>
          <w:szCs w:val="22"/>
        </w:rPr>
        <w:t>. The City</w:t>
      </w:r>
      <w:r>
        <w:rPr>
          <w:sz w:val="22"/>
          <w:szCs w:val="22"/>
        </w:rPr>
        <w:t xml:space="preserve"> of Columbia </w:t>
      </w:r>
      <w:r w:rsidRPr="00E675EE">
        <w:rPr>
          <w:sz w:val="22"/>
          <w:szCs w:val="22"/>
        </w:rPr>
        <w:t xml:space="preserve">maintains </w:t>
      </w:r>
      <w:r w:rsidR="00850C62">
        <w:rPr>
          <w:sz w:val="22"/>
          <w:szCs w:val="22"/>
        </w:rPr>
        <w:t>a minimum of $15 million in deposits available for investment.</w:t>
      </w:r>
      <w:r w:rsidRPr="00E675EE">
        <w:rPr>
          <w:sz w:val="22"/>
          <w:szCs w:val="22"/>
        </w:rPr>
        <w:t xml:space="preserve"> The City has adopted a written Investment Policy, which regulates the standards and procedures used in its cash management activities. A copy of the most recent Investment Policy is attached as an appendix to this document. The City requires broker/dealers to acknowledge, in writing, that they have received and read the City’s investment policy. Please see Investment Policy – Exhibit A.</w:t>
      </w:r>
    </w:p>
    <w:p w:rsidR="0034143B" w:rsidRPr="00E675EE" w:rsidRDefault="0034143B" w:rsidP="0034143B">
      <w:pPr>
        <w:rPr>
          <w:b/>
          <w:sz w:val="22"/>
          <w:szCs w:val="22"/>
          <w:u w:val="single"/>
          <w:lang w:val="x-none"/>
        </w:rPr>
      </w:pPr>
      <w:r w:rsidRPr="00E675EE">
        <w:rPr>
          <w:b/>
          <w:sz w:val="22"/>
          <w:szCs w:val="22"/>
          <w:u w:val="single"/>
          <w:lang w:val="x-none"/>
        </w:rPr>
        <w:t>Minimum Qualifications</w:t>
      </w:r>
    </w:p>
    <w:p w:rsidR="00CB5A56" w:rsidRPr="00E675EE" w:rsidRDefault="00CB5A56" w:rsidP="0034143B">
      <w:pPr>
        <w:rPr>
          <w:sz w:val="22"/>
          <w:szCs w:val="22"/>
          <w:lang w:val="x-none"/>
        </w:rPr>
      </w:pPr>
    </w:p>
    <w:p w:rsidR="0034143B" w:rsidRPr="00DA630D" w:rsidRDefault="0034143B" w:rsidP="00CB5A56">
      <w:pPr>
        <w:pStyle w:val="ListParagraph"/>
        <w:numPr>
          <w:ilvl w:val="0"/>
          <w:numId w:val="24"/>
        </w:numPr>
        <w:jc w:val="both"/>
        <w:rPr>
          <w:sz w:val="22"/>
          <w:szCs w:val="22"/>
          <w:lang w:val="x-none"/>
        </w:rPr>
      </w:pPr>
      <w:r w:rsidRPr="00E675EE">
        <w:rPr>
          <w:sz w:val="22"/>
          <w:szCs w:val="22"/>
          <w:lang w:val="x-none"/>
        </w:rPr>
        <w:t>Advisor shall be a Registered Investment Advisor as defined and regulated by the Securities</w:t>
      </w:r>
      <w:r w:rsidR="00CB5A56" w:rsidRPr="00E675EE">
        <w:rPr>
          <w:sz w:val="22"/>
          <w:szCs w:val="22"/>
        </w:rPr>
        <w:t xml:space="preserve"> </w:t>
      </w:r>
      <w:r w:rsidRPr="00E675EE">
        <w:rPr>
          <w:sz w:val="22"/>
          <w:szCs w:val="22"/>
          <w:lang w:val="x-none"/>
        </w:rPr>
        <w:t xml:space="preserve">and Exchange Commission and shall be registered in the State of </w:t>
      </w:r>
      <w:r w:rsidR="00CB5A56" w:rsidRPr="00DA630D">
        <w:rPr>
          <w:sz w:val="22"/>
          <w:szCs w:val="22"/>
        </w:rPr>
        <w:t>Tennessee</w:t>
      </w:r>
      <w:r w:rsidRPr="00DA630D">
        <w:rPr>
          <w:sz w:val="22"/>
          <w:szCs w:val="22"/>
          <w:lang w:val="x-none"/>
        </w:rPr>
        <w:t>.</w:t>
      </w:r>
    </w:p>
    <w:p w:rsidR="00CB5A56" w:rsidRPr="00E675EE" w:rsidRDefault="00CB5A56" w:rsidP="00CB5A56">
      <w:pPr>
        <w:pStyle w:val="ListParagraph"/>
        <w:jc w:val="both"/>
        <w:rPr>
          <w:sz w:val="22"/>
          <w:szCs w:val="22"/>
          <w:lang w:val="x-none"/>
        </w:rPr>
      </w:pPr>
    </w:p>
    <w:p w:rsidR="0034143B" w:rsidRPr="00E675EE" w:rsidRDefault="0034143B" w:rsidP="00CB5A56">
      <w:pPr>
        <w:pStyle w:val="ListParagraph"/>
        <w:numPr>
          <w:ilvl w:val="0"/>
          <w:numId w:val="24"/>
        </w:numPr>
        <w:jc w:val="both"/>
        <w:rPr>
          <w:sz w:val="22"/>
          <w:szCs w:val="22"/>
          <w:lang w:val="x-none"/>
        </w:rPr>
      </w:pPr>
      <w:r w:rsidRPr="00E675EE">
        <w:rPr>
          <w:sz w:val="22"/>
          <w:szCs w:val="22"/>
          <w:lang w:val="x-none"/>
        </w:rPr>
        <w:t xml:space="preserve">Advisor shall be familiar with all applicable </w:t>
      </w:r>
      <w:r w:rsidR="00CB5A56" w:rsidRPr="00E675EE">
        <w:rPr>
          <w:sz w:val="22"/>
          <w:szCs w:val="22"/>
        </w:rPr>
        <w:t>Tennessee</w:t>
      </w:r>
      <w:r w:rsidRPr="00E675EE">
        <w:rPr>
          <w:sz w:val="22"/>
          <w:szCs w:val="22"/>
          <w:lang w:val="x-none"/>
        </w:rPr>
        <w:t xml:space="preserve"> statutes regarding qualified</w:t>
      </w:r>
    </w:p>
    <w:p w:rsidR="0034143B" w:rsidRPr="00E675EE" w:rsidRDefault="0034143B" w:rsidP="00CB5A56">
      <w:pPr>
        <w:pStyle w:val="ListParagraph"/>
        <w:jc w:val="both"/>
        <w:rPr>
          <w:sz w:val="22"/>
          <w:szCs w:val="22"/>
          <w:lang w:val="x-none"/>
        </w:rPr>
      </w:pPr>
      <w:r w:rsidRPr="00E675EE">
        <w:rPr>
          <w:sz w:val="22"/>
          <w:szCs w:val="22"/>
          <w:lang w:val="x-none"/>
        </w:rPr>
        <w:t>investments for public entities.</w:t>
      </w:r>
    </w:p>
    <w:p w:rsidR="00CB5A56" w:rsidRPr="00E675EE" w:rsidRDefault="00CB5A56" w:rsidP="00CB5A56">
      <w:pPr>
        <w:pStyle w:val="ListParagraph"/>
        <w:jc w:val="both"/>
        <w:rPr>
          <w:sz w:val="22"/>
          <w:szCs w:val="22"/>
          <w:lang w:val="x-none"/>
        </w:rPr>
      </w:pPr>
    </w:p>
    <w:p w:rsidR="0034143B" w:rsidRPr="00E675EE" w:rsidRDefault="0034143B" w:rsidP="00CB5A56">
      <w:pPr>
        <w:pStyle w:val="ListParagraph"/>
        <w:numPr>
          <w:ilvl w:val="0"/>
          <w:numId w:val="24"/>
        </w:numPr>
        <w:jc w:val="both"/>
        <w:rPr>
          <w:sz w:val="22"/>
          <w:szCs w:val="22"/>
          <w:lang w:val="x-none"/>
        </w:rPr>
      </w:pPr>
      <w:r w:rsidRPr="00E675EE">
        <w:rPr>
          <w:sz w:val="22"/>
          <w:szCs w:val="22"/>
          <w:lang w:val="x-none"/>
        </w:rPr>
        <w:t>Advisor shall disclose any relationship with any financial institution or securities brokerage</w:t>
      </w:r>
      <w:r w:rsidR="00CB5A56" w:rsidRPr="00E675EE">
        <w:rPr>
          <w:sz w:val="22"/>
          <w:szCs w:val="22"/>
        </w:rPr>
        <w:t xml:space="preserve"> </w:t>
      </w:r>
      <w:r w:rsidRPr="00E675EE">
        <w:rPr>
          <w:sz w:val="22"/>
          <w:szCs w:val="22"/>
          <w:lang w:val="x-none"/>
        </w:rPr>
        <w:t>firm, as well as any potential or actual conflict(s) of interest.</w:t>
      </w:r>
    </w:p>
    <w:p w:rsidR="00CB5A56" w:rsidRPr="00E675EE" w:rsidRDefault="00CB5A56" w:rsidP="00CB5A56">
      <w:pPr>
        <w:pStyle w:val="ListParagraph"/>
        <w:jc w:val="both"/>
        <w:rPr>
          <w:sz w:val="22"/>
          <w:szCs w:val="22"/>
          <w:lang w:val="x-none"/>
        </w:rPr>
      </w:pPr>
    </w:p>
    <w:p w:rsidR="00CB5A56" w:rsidRPr="00E675EE" w:rsidRDefault="0034143B" w:rsidP="00CB5A56">
      <w:pPr>
        <w:pStyle w:val="ListParagraph"/>
        <w:numPr>
          <w:ilvl w:val="0"/>
          <w:numId w:val="24"/>
        </w:numPr>
        <w:jc w:val="both"/>
        <w:rPr>
          <w:sz w:val="22"/>
          <w:szCs w:val="22"/>
          <w:lang w:val="x-none"/>
        </w:rPr>
      </w:pPr>
      <w:r w:rsidRPr="00E675EE">
        <w:rPr>
          <w:sz w:val="22"/>
          <w:szCs w:val="22"/>
          <w:lang w:val="x-none"/>
        </w:rPr>
        <w:t>Advisor shall have a minimum of five years of experience in managing government</w:t>
      </w:r>
      <w:r w:rsidR="00CB5A56" w:rsidRPr="00E675EE">
        <w:rPr>
          <w:sz w:val="22"/>
          <w:szCs w:val="22"/>
        </w:rPr>
        <w:t xml:space="preserve"> </w:t>
      </w:r>
      <w:r w:rsidRPr="00E675EE">
        <w:rPr>
          <w:sz w:val="22"/>
          <w:szCs w:val="22"/>
          <w:lang w:val="x-none"/>
        </w:rPr>
        <w:t>operating and bond funds.</w:t>
      </w:r>
    </w:p>
    <w:p w:rsidR="00E675EE" w:rsidRDefault="00E675EE" w:rsidP="0034143B">
      <w:pPr>
        <w:rPr>
          <w:b/>
          <w:sz w:val="22"/>
          <w:szCs w:val="22"/>
          <w:u w:val="single"/>
          <w:lang w:val="x-none"/>
        </w:rPr>
      </w:pPr>
    </w:p>
    <w:p w:rsidR="0034143B" w:rsidRPr="00E675EE" w:rsidRDefault="0034143B" w:rsidP="0034143B">
      <w:pPr>
        <w:rPr>
          <w:b/>
          <w:sz w:val="22"/>
          <w:szCs w:val="22"/>
          <w:u w:val="single"/>
          <w:lang w:val="x-none"/>
        </w:rPr>
      </w:pPr>
      <w:r w:rsidRPr="00E675EE">
        <w:rPr>
          <w:b/>
          <w:sz w:val="22"/>
          <w:szCs w:val="22"/>
          <w:u w:val="single"/>
          <w:lang w:val="x-none"/>
        </w:rPr>
        <w:t>General RFQ requirements</w:t>
      </w:r>
    </w:p>
    <w:p w:rsidR="00E675EE" w:rsidRPr="00E675EE" w:rsidRDefault="00E675EE" w:rsidP="0034143B">
      <w:pPr>
        <w:rPr>
          <w:sz w:val="22"/>
          <w:szCs w:val="22"/>
          <w:lang w:val="x-none"/>
        </w:rPr>
      </w:pPr>
    </w:p>
    <w:p w:rsidR="0034143B" w:rsidRPr="00E675EE" w:rsidRDefault="0034143B" w:rsidP="0034143B">
      <w:pPr>
        <w:pStyle w:val="ListParagraph"/>
        <w:numPr>
          <w:ilvl w:val="0"/>
          <w:numId w:val="23"/>
        </w:numPr>
        <w:rPr>
          <w:sz w:val="22"/>
          <w:szCs w:val="22"/>
          <w:lang w:val="x-none"/>
        </w:rPr>
      </w:pPr>
      <w:r w:rsidRPr="00E675EE">
        <w:rPr>
          <w:sz w:val="22"/>
          <w:szCs w:val="22"/>
          <w:lang w:val="x-none"/>
        </w:rPr>
        <w:t xml:space="preserve">Describe the firm’s capabilities </w:t>
      </w:r>
      <w:r w:rsidRPr="00DA630D">
        <w:rPr>
          <w:sz w:val="22"/>
          <w:szCs w:val="22"/>
          <w:lang w:val="x-none"/>
        </w:rPr>
        <w:t xml:space="preserve">and </w:t>
      </w:r>
      <w:r w:rsidR="007314FB" w:rsidRPr="00DA630D">
        <w:rPr>
          <w:sz w:val="22"/>
          <w:szCs w:val="22"/>
        </w:rPr>
        <w:t>relevant</w:t>
      </w:r>
      <w:r w:rsidR="007314FB">
        <w:rPr>
          <w:sz w:val="22"/>
          <w:szCs w:val="22"/>
        </w:rPr>
        <w:t xml:space="preserve"> </w:t>
      </w:r>
      <w:r w:rsidRPr="00E675EE">
        <w:rPr>
          <w:sz w:val="22"/>
          <w:szCs w:val="22"/>
          <w:lang w:val="x-none"/>
        </w:rPr>
        <w:t>experience.</w:t>
      </w:r>
    </w:p>
    <w:p w:rsidR="0034143B" w:rsidRPr="00E675EE" w:rsidRDefault="0034143B" w:rsidP="0034143B">
      <w:pPr>
        <w:pStyle w:val="ListParagraph"/>
        <w:rPr>
          <w:sz w:val="22"/>
          <w:szCs w:val="22"/>
          <w:lang w:val="x-none"/>
        </w:rPr>
      </w:pPr>
    </w:p>
    <w:p w:rsidR="0034143B" w:rsidRPr="00E675EE" w:rsidRDefault="0034143B" w:rsidP="0034143B">
      <w:pPr>
        <w:pStyle w:val="ListParagraph"/>
        <w:numPr>
          <w:ilvl w:val="0"/>
          <w:numId w:val="23"/>
        </w:numPr>
        <w:rPr>
          <w:sz w:val="22"/>
          <w:szCs w:val="22"/>
          <w:lang w:val="x-none"/>
        </w:rPr>
      </w:pPr>
      <w:r w:rsidRPr="00E675EE">
        <w:rPr>
          <w:sz w:val="22"/>
          <w:szCs w:val="22"/>
          <w:lang w:val="x-none"/>
        </w:rPr>
        <w:lastRenderedPageBreak/>
        <w:t>Briefly describe the philosophy and methodology of your investment selections. Explain</w:t>
      </w:r>
    </w:p>
    <w:p w:rsidR="0034143B" w:rsidRPr="00E675EE" w:rsidRDefault="0034143B" w:rsidP="0034143B">
      <w:pPr>
        <w:pStyle w:val="ListParagraph"/>
        <w:rPr>
          <w:sz w:val="22"/>
          <w:szCs w:val="22"/>
          <w:lang w:val="x-none"/>
        </w:rPr>
      </w:pPr>
      <w:r w:rsidRPr="00E675EE">
        <w:rPr>
          <w:sz w:val="22"/>
          <w:szCs w:val="22"/>
          <w:lang w:val="x-none"/>
        </w:rPr>
        <w:t>your views on passive versus active management. What is your recommended allocation</w:t>
      </w:r>
    </w:p>
    <w:p w:rsidR="0034143B" w:rsidRPr="00E675EE" w:rsidRDefault="0034143B" w:rsidP="0034143B">
      <w:pPr>
        <w:pStyle w:val="ListParagraph"/>
        <w:rPr>
          <w:sz w:val="22"/>
          <w:szCs w:val="22"/>
          <w:lang w:val="x-none"/>
        </w:rPr>
      </w:pPr>
      <w:r w:rsidRPr="00E675EE">
        <w:rPr>
          <w:sz w:val="22"/>
          <w:szCs w:val="22"/>
          <w:lang w:val="x-none"/>
        </w:rPr>
        <w:t>between active and passive management?</w:t>
      </w:r>
    </w:p>
    <w:p w:rsidR="0034143B" w:rsidRPr="00E675EE" w:rsidRDefault="0034143B" w:rsidP="0034143B">
      <w:pPr>
        <w:pStyle w:val="ListParagraph"/>
        <w:rPr>
          <w:sz w:val="22"/>
          <w:szCs w:val="22"/>
          <w:lang w:val="x-none"/>
        </w:rPr>
      </w:pPr>
    </w:p>
    <w:p w:rsidR="0034143B" w:rsidRPr="00E675EE" w:rsidRDefault="0034143B" w:rsidP="0034143B">
      <w:pPr>
        <w:pStyle w:val="ListParagraph"/>
        <w:numPr>
          <w:ilvl w:val="0"/>
          <w:numId w:val="23"/>
        </w:numPr>
        <w:rPr>
          <w:sz w:val="22"/>
          <w:szCs w:val="22"/>
          <w:lang w:val="x-none"/>
        </w:rPr>
      </w:pPr>
      <w:r w:rsidRPr="00E675EE">
        <w:rPr>
          <w:sz w:val="22"/>
          <w:szCs w:val="22"/>
          <w:lang w:val="x-none"/>
        </w:rPr>
        <w:t>List the firm’s experience working with similar municipal organizations in the past five</w:t>
      </w:r>
    </w:p>
    <w:p w:rsidR="0034143B" w:rsidRDefault="0034143B" w:rsidP="0034143B">
      <w:pPr>
        <w:pStyle w:val="ListParagraph"/>
        <w:rPr>
          <w:sz w:val="22"/>
          <w:szCs w:val="22"/>
          <w:lang w:val="x-none"/>
        </w:rPr>
      </w:pPr>
      <w:r w:rsidRPr="00E675EE">
        <w:rPr>
          <w:sz w:val="22"/>
          <w:szCs w:val="22"/>
          <w:lang w:val="x-none"/>
        </w:rPr>
        <w:t>years.</w:t>
      </w:r>
    </w:p>
    <w:p w:rsidR="007314FB" w:rsidRPr="00E675EE" w:rsidRDefault="007314FB" w:rsidP="0034143B">
      <w:pPr>
        <w:pStyle w:val="ListParagraph"/>
        <w:rPr>
          <w:sz w:val="22"/>
          <w:szCs w:val="22"/>
          <w:lang w:val="x-none"/>
        </w:rPr>
      </w:pPr>
    </w:p>
    <w:p w:rsidR="0034143B" w:rsidRPr="00E675EE" w:rsidRDefault="0034143B" w:rsidP="0034143B">
      <w:pPr>
        <w:pStyle w:val="ListParagraph"/>
        <w:numPr>
          <w:ilvl w:val="0"/>
          <w:numId w:val="23"/>
        </w:numPr>
        <w:rPr>
          <w:sz w:val="22"/>
          <w:szCs w:val="22"/>
          <w:lang w:val="x-none"/>
        </w:rPr>
      </w:pPr>
      <w:r w:rsidRPr="00E675EE">
        <w:rPr>
          <w:sz w:val="22"/>
          <w:szCs w:val="22"/>
          <w:lang w:val="x-none"/>
        </w:rPr>
        <w:t xml:space="preserve">Describe how the firm is legally qualified in the State of </w:t>
      </w:r>
      <w:r w:rsidR="00CB5840">
        <w:rPr>
          <w:sz w:val="22"/>
          <w:szCs w:val="22"/>
        </w:rPr>
        <w:t>Tennessee</w:t>
      </w:r>
      <w:r w:rsidRPr="00E675EE">
        <w:rPr>
          <w:sz w:val="22"/>
          <w:szCs w:val="22"/>
          <w:lang w:val="x-none"/>
        </w:rPr>
        <w:t xml:space="preserve"> to perform the work</w:t>
      </w:r>
    </w:p>
    <w:p w:rsidR="0034143B" w:rsidRPr="00E675EE" w:rsidRDefault="0034143B" w:rsidP="0034143B">
      <w:pPr>
        <w:pStyle w:val="ListParagraph"/>
        <w:rPr>
          <w:sz w:val="22"/>
          <w:szCs w:val="22"/>
          <w:lang w:val="x-none"/>
        </w:rPr>
      </w:pPr>
      <w:r w:rsidRPr="00E675EE">
        <w:rPr>
          <w:sz w:val="22"/>
          <w:szCs w:val="22"/>
          <w:lang w:val="x-none"/>
        </w:rPr>
        <w:t>requested.</w:t>
      </w:r>
    </w:p>
    <w:p w:rsidR="0034143B" w:rsidRPr="00E675EE" w:rsidRDefault="0034143B" w:rsidP="0034143B">
      <w:pPr>
        <w:pStyle w:val="ListParagraph"/>
        <w:rPr>
          <w:sz w:val="22"/>
          <w:szCs w:val="22"/>
          <w:lang w:val="x-none"/>
        </w:rPr>
      </w:pPr>
    </w:p>
    <w:p w:rsidR="0034143B" w:rsidRPr="00E675EE" w:rsidRDefault="0034143B" w:rsidP="0034143B">
      <w:pPr>
        <w:pStyle w:val="ListParagraph"/>
        <w:numPr>
          <w:ilvl w:val="0"/>
          <w:numId w:val="23"/>
        </w:numPr>
        <w:rPr>
          <w:sz w:val="22"/>
          <w:szCs w:val="22"/>
          <w:lang w:val="x-none"/>
        </w:rPr>
      </w:pPr>
      <w:r w:rsidRPr="00E675EE">
        <w:rPr>
          <w:sz w:val="22"/>
          <w:szCs w:val="22"/>
          <w:lang w:val="x-none"/>
        </w:rPr>
        <w:t>List the qualifications of the portfolio manager and key personnel on the advisory service</w:t>
      </w:r>
    </w:p>
    <w:p w:rsidR="0034143B" w:rsidRDefault="0034143B" w:rsidP="0034143B">
      <w:pPr>
        <w:pStyle w:val="ListParagraph"/>
        <w:rPr>
          <w:sz w:val="22"/>
          <w:szCs w:val="22"/>
          <w:lang w:val="x-none"/>
        </w:rPr>
      </w:pPr>
      <w:r w:rsidRPr="00E675EE">
        <w:rPr>
          <w:sz w:val="22"/>
          <w:szCs w:val="22"/>
          <w:lang w:val="x-none"/>
        </w:rPr>
        <w:t>team. Include a description of the relevant education and training, certificates and licenses,</w:t>
      </w:r>
      <w:r w:rsidRPr="00E675EE">
        <w:rPr>
          <w:sz w:val="22"/>
          <w:szCs w:val="22"/>
        </w:rPr>
        <w:t xml:space="preserve"> </w:t>
      </w:r>
      <w:r w:rsidRPr="00E675EE">
        <w:rPr>
          <w:sz w:val="22"/>
          <w:szCs w:val="22"/>
          <w:lang w:val="x-none"/>
        </w:rPr>
        <w:t>professional background, and years of experience with work relevant to the scope of this</w:t>
      </w:r>
      <w:r w:rsidRPr="00E675EE">
        <w:rPr>
          <w:sz w:val="22"/>
          <w:szCs w:val="22"/>
        </w:rPr>
        <w:t xml:space="preserve"> </w:t>
      </w:r>
      <w:r w:rsidRPr="00E675EE">
        <w:rPr>
          <w:sz w:val="22"/>
          <w:szCs w:val="22"/>
          <w:lang w:val="x-none"/>
        </w:rPr>
        <w:t>RFQ.</w:t>
      </w:r>
    </w:p>
    <w:p w:rsidR="00CB5840" w:rsidRPr="00E675EE" w:rsidRDefault="00CB5840" w:rsidP="0034143B">
      <w:pPr>
        <w:pStyle w:val="ListParagraph"/>
        <w:rPr>
          <w:sz w:val="22"/>
          <w:szCs w:val="22"/>
          <w:lang w:val="x-none"/>
        </w:rPr>
      </w:pPr>
    </w:p>
    <w:p w:rsidR="0034143B" w:rsidRPr="00E675EE" w:rsidRDefault="0034143B" w:rsidP="0034143B">
      <w:pPr>
        <w:pStyle w:val="ListParagraph"/>
        <w:numPr>
          <w:ilvl w:val="0"/>
          <w:numId w:val="23"/>
        </w:numPr>
        <w:rPr>
          <w:sz w:val="22"/>
          <w:szCs w:val="22"/>
          <w:lang w:val="x-none"/>
        </w:rPr>
      </w:pPr>
      <w:r w:rsidRPr="00E675EE">
        <w:rPr>
          <w:sz w:val="22"/>
          <w:szCs w:val="22"/>
          <w:lang w:val="x-none"/>
        </w:rPr>
        <w:t>Provide a list of current municipal clients, including a contact person (name, title, phone,</w:t>
      </w:r>
    </w:p>
    <w:p w:rsidR="0034143B" w:rsidRPr="00E675EE" w:rsidRDefault="0034143B" w:rsidP="0034143B">
      <w:pPr>
        <w:pStyle w:val="ListParagraph"/>
        <w:rPr>
          <w:sz w:val="22"/>
          <w:szCs w:val="22"/>
          <w:lang w:val="x-none"/>
        </w:rPr>
      </w:pPr>
      <w:r w:rsidRPr="00E675EE">
        <w:rPr>
          <w:sz w:val="22"/>
          <w:szCs w:val="22"/>
          <w:lang w:val="x-none"/>
        </w:rPr>
        <w:t>and email address) for each.</w:t>
      </w:r>
    </w:p>
    <w:p w:rsidR="0034143B" w:rsidRPr="00E675EE" w:rsidRDefault="0034143B" w:rsidP="0034143B">
      <w:pPr>
        <w:pStyle w:val="ListParagraph"/>
        <w:rPr>
          <w:sz w:val="22"/>
          <w:szCs w:val="22"/>
          <w:lang w:val="x-none"/>
        </w:rPr>
      </w:pPr>
    </w:p>
    <w:p w:rsidR="0034143B" w:rsidRPr="00DA630D" w:rsidRDefault="0034143B" w:rsidP="0034143B">
      <w:pPr>
        <w:pStyle w:val="ListParagraph"/>
        <w:numPr>
          <w:ilvl w:val="0"/>
          <w:numId w:val="23"/>
        </w:numPr>
        <w:rPr>
          <w:sz w:val="22"/>
          <w:szCs w:val="22"/>
          <w:lang w:val="x-none"/>
        </w:rPr>
      </w:pPr>
      <w:r w:rsidRPr="00DA630D">
        <w:rPr>
          <w:sz w:val="22"/>
          <w:szCs w:val="22"/>
          <w:lang w:val="x-none"/>
        </w:rPr>
        <w:t>P</w:t>
      </w:r>
      <w:r w:rsidR="007314FB" w:rsidRPr="00DA630D">
        <w:rPr>
          <w:sz w:val="22"/>
          <w:szCs w:val="22"/>
          <w:lang w:val="x-none"/>
        </w:rPr>
        <w:t>rovide a proposed fee structure to include advisory fees and method of computation, trading fees, investment management fees, administrative fees and any other fees likely to be incurred should your firm be selected.</w:t>
      </w:r>
    </w:p>
    <w:p w:rsidR="007314FB" w:rsidRPr="00DA630D" w:rsidRDefault="007314FB" w:rsidP="007314FB">
      <w:pPr>
        <w:rPr>
          <w:sz w:val="22"/>
          <w:szCs w:val="22"/>
          <w:lang w:val="x-none"/>
        </w:rPr>
      </w:pPr>
    </w:p>
    <w:p w:rsidR="007314FB" w:rsidRPr="00DA630D" w:rsidRDefault="007314FB" w:rsidP="007314FB">
      <w:pPr>
        <w:rPr>
          <w:sz w:val="22"/>
          <w:szCs w:val="22"/>
        </w:rPr>
      </w:pPr>
      <w:r w:rsidRPr="00DA630D">
        <w:rPr>
          <w:sz w:val="22"/>
          <w:szCs w:val="22"/>
        </w:rPr>
        <w:t>Submission Requirements</w:t>
      </w:r>
    </w:p>
    <w:p w:rsidR="007314FB" w:rsidRPr="00DA630D" w:rsidRDefault="007314FB" w:rsidP="007314FB">
      <w:pPr>
        <w:rPr>
          <w:sz w:val="22"/>
          <w:szCs w:val="22"/>
        </w:rPr>
      </w:pPr>
    </w:p>
    <w:p w:rsidR="007314FB" w:rsidRPr="00DA630D" w:rsidRDefault="007314FB" w:rsidP="007314FB">
      <w:pPr>
        <w:pStyle w:val="ListParagraph"/>
        <w:numPr>
          <w:ilvl w:val="0"/>
          <w:numId w:val="25"/>
        </w:numPr>
        <w:rPr>
          <w:sz w:val="22"/>
          <w:szCs w:val="22"/>
        </w:rPr>
      </w:pPr>
      <w:r w:rsidRPr="00DA630D">
        <w:rPr>
          <w:sz w:val="22"/>
          <w:szCs w:val="22"/>
        </w:rPr>
        <w:t xml:space="preserve">Three written copies of the proposal shall be submitted and electronic version shall be available upon request. </w:t>
      </w:r>
    </w:p>
    <w:p w:rsidR="007314FB" w:rsidRPr="00DA630D" w:rsidRDefault="007314FB" w:rsidP="007314FB">
      <w:pPr>
        <w:rPr>
          <w:sz w:val="22"/>
          <w:szCs w:val="22"/>
        </w:rPr>
      </w:pPr>
    </w:p>
    <w:p w:rsidR="007314FB" w:rsidRPr="00DA630D" w:rsidRDefault="007314FB" w:rsidP="007314FB">
      <w:pPr>
        <w:pStyle w:val="ListParagraph"/>
        <w:numPr>
          <w:ilvl w:val="0"/>
          <w:numId w:val="25"/>
        </w:numPr>
        <w:rPr>
          <w:sz w:val="22"/>
          <w:szCs w:val="22"/>
        </w:rPr>
      </w:pPr>
      <w:r w:rsidRPr="00DA630D">
        <w:rPr>
          <w:sz w:val="22"/>
          <w:szCs w:val="22"/>
        </w:rPr>
        <w:t>Format of the proposal shall be at the discretion of the proposer; however, brevity and economy is encouraged.</w:t>
      </w:r>
    </w:p>
    <w:p w:rsidR="007314FB" w:rsidRPr="00DA630D" w:rsidRDefault="007314FB" w:rsidP="007314FB">
      <w:pPr>
        <w:pStyle w:val="ListParagraph"/>
        <w:rPr>
          <w:sz w:val="22"/>
          <w:szCs w:val="22"/>
        </w:rPr>
      </w:pPr>
    </w:p>
    <w:p w:rsidR="007314FB" w:rsidRPr="00DA630D" w:rsidRDefault="007314FB" w:rsidP="007314FB">
      <w:pPr>
        <w:rPr>
          <w:sz w:val="22"/>
          <w:szCs w:val="22"/>
        </w:rPr>
      </w:pPr>
      <w:r w:rsidRPr="00DA630D">
        <w:rPr>
          <w:sz w:val="22"/>
          <w:szCs w:val="22"/>
        </w:rPr>
        <w:t xml:space="preserve">Evaluation Criteria </w:t>
      </w:r>
    </w:p>
    <w:p w:rsidR="007314FB" w:rsidRPr="00DA630D" w:rsidRDefault="007314FB" w:rsidP="007314FB">
      <w:pPr>
        <w:rPr>
          <w:sz w:val="22"/>
          <w:szCs w:val="22"/>
        </w:rPr>
      </w:pPr>
    </w:p>
    <w:p w:rsidR="007314FB" w:rsidRPr="00DA630D" w:rsidRDefault="007314FB" w:rsidP="007314FB">
      <w:pPr>
        <w:rPr>
          <w:sz w:val="22"/>
          <w:szCs w:val="22"/>
        </w:rPr>
      </w:pPr>
      <w:r w:rsidRPr="00DA630D">
        <w:rPr>
          <w:sz w:val="22"/>
          <w:szCs w:val="22"/>
        </w:rPr>
        <w:tab/>
        <w:t xml:space="preserve">The selection committee will consider the following in the evaluation process: </w:t>
      </w:r>
    </w:p>
    <w:p w:rsidR="007314FB" w:rsidRPr="00DA630D" w:rsidRDefault="007314FB" w:rsidP="007314FB">
      <w:pPr>
        <w:pStyle w:val="ListParagraph"/>
        <w:numPr>
          <w:ilvl w:val="0"/>
          <w:numId w:val="26"/>
        </w:numPr>
        <w:rPr>
          <w:sz w:val="22"/>
          <w:szCs w:val="22"/>
        </w:rPr>
      </w:pPr>
      <w:r w:rsidRPr="00DA630D">
        <w:rPr>
          <w:sz w:val="22"/>
          <w:szCs w:val="22"/>
        </w:rPr>
        <w:t>Fee Structure</w:t>
      </w:r>
    </w:p>
    <w:p w:rsidR="007314FB" w:rsidRPr="00DA630D" w:rsidRDefault="007314FB" w:rsidP="007314FB">
      <w:pPr>
        <w:pStyle w:val="ListParagraph"/>
        <w:numPr>
          <w:ilvl w:val="0"/>
          <w:numId w:val="26"/>
        </w:numPr>
        <w:rPr>
          <w:sz w:val="22"/>
          <w:szCs w:val="22"/>
        </w:rPr>
      </w:pPr>
      <w:r w:rsidRPr="00DA630D">
        <w:rPr>
          <w:sz w:val="22"/>
          <w:szCs w:val="22"/>
        </w:rPr>
        <w:t>Understanding of the services required</w:t>
      </w:r>
    </w:p>
    <w:p w:rsidR="00F73B91" w:rsidRPr="00DA630D" w:rsidRDefault="007314FB" w:rsidP="007314FB">
      <w:pPr>
        <w:pStyle w:val="ListParagraph"/>
        <w:numPr>
          <w:ilvl w:val="0"/>
          <w:numId w:val="26"/>
        </w:numPr>
        <w:rPr>
          <w:sz w:val="22"/>
          <w:szCs w:val="22"/>
        </w:rPr>
      </w:pPr>
      <w:r w:rsidRPr="00DA630D">
        <w:rPr>
          <w:sz w:val="22"/>
          <w:szCs w:val="22"/>
        </w:rPr>
        <w:t>Technical competence of the firm</w:t>
      </w:r>
    </w:p>
    <w:p w:rsidR="00F73B91" w:rsidRPr="00DA630D" w:rsidRDefault="00F73B91" w:rsidP="007314FB">
      <w:pPr>
        <w:pStyle w:val="ListParagraph"/>
        <w:numPr>
          <w:ilvl w:val="0"/>
          <w:numId w:val="26"/>
        </w:numPr>
        <w:rPr>
          <w:sz w:val="22"/>
          <w:szCs w:val="22"/>
        </w:rPr>
      </w:pPr>
      <w:r w:rsidRPr="00DA630D">
        <w:rPr>
          <w:sz w:val="22"/>
          <w:szCs w:val="22"/>
        </w:rPr>
        <w:t>References</w:t>
      </w:r>
    </w:p>
    <w:p w:rsidR="007314FB" w:rsidRPr="00DA630D" w:rsidRDefault="00F73B91" w:rsidP="00265C8C">
      <w:pPr>
        <w:pStyle w:val="ListParagraph"/>
        <w:numPr>
          <w:ilvl w:val="0"/>
          <w:numId w:val="26"/>
        </w:numPr>
        <w:rPr>
          <w:sz w:val="22"/>
          <w:szCs w:val="22"/>
        </w:rPr>
      </w:pPr>
      <w:r w:rsidRPr="00DA630D">
        <w:rPr>
          <w:sz w:val="22"/>
          <w:szCs w:val="22"/>
        </w:rPr>
        <w:t xml:space="preserve">Capacity and Ability of the firm </w:t>
      </w:r>
    </w:p>
    <w:p w:rsidR="007314FB" w:rsidRPr="007314FB" w:rsidRDefault="007314FB" w:rsidP="007314FB">
      <w:pPr>
        <w:rPr>
          <w:sz w:val="22"/>
          <w:szCs w:val="22"/>
        </w:rPr>
      </w:pPr>
      <w:bookmarkStart w:id="0" w:name="_GoBack"/>
      <w:bookmarkEnd w:id="0"/>
    </w:p>
    <w:p w:rsidR="0034143B" w:rsidRPr="00E675EE" w:rsidRDefault="0034143B" w:rsidP="0034143B">
      <w:pPr>
        <w:rPr>
          <w:sz w:val="22"/>
          <w:szCs w:val="22"/>
          <w:lang w:val="x-none"/>
        </w:rPr>
      </w:pPr>
    </w:p>
    <w:p w:rsidR="00472DD8" w:rsidRDefault="0034143B" w:rsidP="00850C62">
      <w:pPr>
        <w:rPr>
          <w:b/>
          <w:sz w:val="22"/>
          <w:szCs w:val="22"/>
        </w:rPr>
      </w:pPr>
      <w:r w:rsidRPr="00E675EE">
        <w:rPr>
          <w:b/>
          <w:sz w:val="22"/>
          <w:szCs w:val="22"/>
          <w:lang w:val="x-none"/>
        </w:rPr>
        <w:t xml:space="preserve">Submission Deadline is January </w:t>
      </w:r>
      <w:r w:rsidR="00F64C1C">
        <w:rPr>
          <w:b/>
          <w:sz w:val="22"/>
          <w:szCs w:val="22"/>
        </w:rPr>
        <w:t>23</w:t>
      </w:r>
      <w:r w:rsidRPr="00E675EE">
        <w:rPr>
          <w:b/>
          <w:sz w:val="22"/>
          <w:szCs w:val="22"/>
          <w:lang w:val="x-none"/>
        </w:rPr>
        <w:t xml:space="preserve">, 2019 at </w:t>
      </w:r>
      <w:r w:rsidR="00F64C1C">
        <w:rPr>
          <w:b/>
          <w:sz w:val="22"/>
          <w:szCs w:val="22"/>
        </w:rPr>
        <w:t>2</w:t>
      </w:r>
      <w:r w:rsidRPr="00E675EE">
        <w:rPr>
          <w:b/>
          <w:sz w:val="22"/>
          <w:szCs w:val="22"/>
          <w:lang w:val="x-none"/>
        </w:rPr>
        <w:t>:00 p.m.</w:t>
      </w:r>
      <w:r w:rsidR="00F73B91">
        <w:rPr>
          <w:b/>
          <w:sz w:val="22"/>
          <w:szCs w:val="22"/>
        </w:rPr>
        <w:t xml:space="preserve"> City of </w:t>
      </w:r>
      <w:proofErr w:type="gramStart"/>
      <w:r w:rsidR="00F73B91">
        <w:rPr>
          <w:b/>
          <w:sz w:val="22"/>
          <w:szCs w:val="22"/>
        </w:rPr>
        <w:t>Columbia ,</w:t>
      </w:r>
      <w:proofErr w:type="gramEnd"/>
      <w:r w:rsidR="00F73B91">
        <w:rPr>
          <w:b/>
          <w:sz w:val="22"/>
          <w:szCs w:val="22"/>
        </w:rPr>
        <w:t xml:space="preserve"> 700 North Garden Street, Columbia Tennessee 38401. Finance Department – Third Floor. </w:t>
      </w:r>
    </w:p>
    <w:p w:rsidR="00F73B91" w:rsidRDefault="00F73B91" w:rsidP="00850C62">
      <w:pPr>
        <w:rPr>
          <w:b/>
          <w:sz w:val="22"/>
          <w:szCs w:val="22"/>
        </w:rPr>
      </w:pPr>
    </w:p>
    <w:p w:rsidR="00F73B91" w:rsidRDefault="00F73B91" w:rsidP="00850C62">
      <w:pPr>
        <w:rPr>
          <w:b/>
          <w:sz w:val="22"/>
          <w:szCs w:val="22"/>
        </w:rPr>
      </w:pPr>
    </w:p>
    <w:p w:rsidR="00F73B91" w:rsidRDefault="00F73B91" w:rsidP="00850C62">
      <w:pPr>
        <w:rPr>
          <w:b/>
          <w:sz w:val="22"/>
          <w:szCs w:val="22"/>
        </w:rPr>
      </w:pPr>
    </w:p>
    <w:p w:rsidR="00F73B91" w:rsidRDefault="00F73B91" w:rsidP="00850C62">
      <w:pPr>
        <w:rPr>
          <w:b/>
          <w:sz w:val="22"/>
          <w:szCs w:val="22"/>
        </w:rPr>
      </w:pPr>
    </w:p>
    <w:p w:rsidR="00F73B91" w:rsidRDefault="00F73B91" w:rsidP="00850C62">
      <w:pPr>
        <w:rPr>
          <w:b/>
          <w:sz w:val="22"/>
          <w:szCs w:val="22"/>
        </w:rPr>
      </w:pPr>
    </w:p>
    <w:p w:rsidR="00F73B91" w:rsidRDefault="00F73B91" w:rsidP="00850C62">
      <w:pPr>
        <w:rPr>
          <w:b/>
          <w:sz w:val="22"/>
          <w:szCs w:val="22"/>
        </w:rPr>
      </w:pPr>
    </w:p>
    <w:p w:rsidR="00F73B91" w:rsidRDefault="00F73B91" w:rsidP="00850C62">
      <w:pPr>
        <w:rPr>
          <w:b/>
          <w:sz w:val="22"/>
          <w:szCs w:val="22"/>
        </w:rPr>
      </w:pPr>
    </w:p>
    <w:p w:rsidR="00F73B91" w:rsidRDefault="00F73B91" w:rsidP="00850C62">
      <w:pPr>
        <w:rPr>
          <w:b/>
          <w:sz w:val="22"/>
          <w:szCs w:val="22"/>
        </w:rPr>
      </w:pPr>
    </w:p>
    <w:p w:rsidR="00F73B91" w:rsidRDefault="00F73B91" w:rsidP="00850C62">
      <w:pPr>
        <w:rPr>
          <w:b/>
          <w:sz w:val="22"/>
          <w:szCs w:val="22"/>
        </w:rPr>
      </w:pPr>
    </w:p>
    <w:p w:rsidR="00F73B91" w:rsidRDefault="00F73B91" w:rsidP="00850C62">
      <w:pPr>
        <w:rPr>
          <w:b/>
          <w:sz w:val="22"/>
          <w:szCs w:val="22"/>
        </w:rPr>
      </w:pPr>
    </w:p>
    <w:p w:rsidR="005C2CD2" w:rsidRDefault="005C2CD2" w:rsidP="005C2CD2">
      <w:pPr>
        <w:pStyle w:val="Heading2"/>
        <w:ind w:left="17" w:right="12"/>
      </w:pPr>
      <w:r>
        <w:lastRenderedPageBreak/>
        <w:t xml:space="preserve">Exhibit A </w:t>
      </w:r>
    </w:p>
    <w:p w:rsidR="005C2CD2" w:rsidRDefault="005C2CD2" w:rsidP="005C2CD2">
      <w:pPr>
        <w:spacing w:after="15" w:line="259" w:lineRule="auto"/>
        <w:ind w:left="50"/>
        <w:jc w:val="center"/>
      </w:pPr>
      <w:r>
        <w:rPr>
          <w:b/>
        </w:rPr>
        <w:t xml:space="preserve"> </w:t>
      </w:r>
    </w:p>
    <w:p w:rsidR="005C2CD2" w:rsidRDefault="005C2CD2" w:rsidP="005C2CD2">
      <w:pPr>
        <w:spacing w:line="259" w:lineRule="auto"/>
        <w:ind w:right="7"/>
        <w:jc w:val="center"/>
      </w:pPr>
      <w:r>
        <w:rPr>
          <w:b/>
        </w:rPr>
        <w:t xml:space="preserve">CITY OF COLUMBIA, TENNESSEE </w:t>
      </w:r>
    </w:p>
    <w:p w:rsidR="005C2CD2" w:rsidRDefault="005C2CD2" w:rsidP="005C2CD2">
      <w:pPr>
        <w:spacing w:line="259" w:lineRule="auto"/>
        <w:jc w:val="center"/>
      </w:pPr>
      <w:r>
        <w:rPr>
          <w:b/>
        </w:rPr>
        <w:t xml:space="preserve">INVESTMENT POLICY </w:t>
      </w:r>
    </w:p>
    <w:p w:rsidR="005C2CD2" w:rsidRDefault="005C2CD2" w:rsidP="005C2CD2">
      <w:pPr>
        <w:spacing w:line="259" w:lineRule="auto"/>
      </w:pPr>
      <w:r>
        <w:rPr>
          <w:b/>
        </w:rPr>
        <w:t xml:space="preserve"> </w:t>
      </w:r>
    </w:p>
    <w:p w:rsidR="005C2CD2" w:rsidRDefault="005C2CD2" w:rsidP="005C2CD2">
      <w:pPr>
        <w:pStyle w:val="Heading2"/>
        <w:ind w:left="-5"/>
      </w:pPr>
      <w:r>
        <w:t>1.</w:t>
      </w:r>
      <w:r>
        <w:rPr>
          <w:rFonts w:ascii="Arial" w:eastAsia="Arial" w:hAnsi="Arial" w:cs="Arial"/>
        </w:rPr>
        <w:t xml:space="preserve"> </w:t>
      </w:r>
      <w:r>
        <w:t xml:space="preserve">SCOPE </w:t>
      </w:r>
    </w:p>
    <w:p w:rsidR="005C2CD2" w:rsidRDefault="005C2CD2" w:rsidP="005C2CD2">
      <w:pPr>
        <w:spacing w:line="259" w:lineRule="auto"/>
        <w:ind w:left="360"/>
      </w:pPr>
      <w:r>
        <w:t xml:space="preserve"> </w:t>
      </w:r>
    </w:p>
    <w:p w:rsidR="005C2CD2" w:rsidRDefault="005C2CD2" w:rsidP="005C2CD2">
      <w:r>
        <w:t xml:space="preserve">This policy applies to the investment of all funds of the City of Columbia, Tennessee. Investments of employees’ post benefit retirement funds are covered by a separate policy. Except for special funds that are otherwise specifically provided for, the City of Columbia will consolidate the balances from all funds to maximize investment earnings. Investment income will be allocated to the various funds based on their respective participation of capital in the overall portfolio in accordance with generally accepted accounting principles. </w:t>
      </w:r>
    </w:p>
    <w:p w:rsidR="005C2CD2" w:rsidRDefault="005C2CD2" w:rsidP="005C2CD2">
      <w:pPr>
        <w:spacing w:after="5" w:line="259" w:lineRule="auto"/>
      </w:pPr>
      <w:r>
        <w:t xml:space="preserve"> </w:t>
      </w:r>
    </w:p>
    <w:p w:rsidR="005C2CD2" w:rsidRDefault="005C2CD2" w:rsidP="005C2CD2">
      <w:pPr>
        <w:pStyle w:val="Heading2"/>
        <w:ind w:left="-5"/>
      </w:pPr>
      <w:r>
        <w:t>2.</w:t>
      </w:r>
      <w:r>
        <w:rPr>
          <w:rFonts w:ascii="Arial" w:eastAsia="Arial" w:hAnsi="Arial" w:cs="Arial"/>
        </w:rPr>
        <w:t xml:space="preserve"> </w:t>
      </w:r>
      <w:r>
        <w:t xml:space="preserve">POLICY </w:t>
      </w:r>
    </w:p>
    <w:p w:rsidR="005C2CD2" w:rsidRDefault="005C2CD2" w:rsidP="005C2CD2">
      <w:pPr>
        <w:spacing w:line="259" w:lineRule="auto"/>
      </w:pPr>
      <w:r>
        <w:t xml:space="preserve"> </w:t>
      </w:r>
    </w:p>
    <w:p w:rsidR="005C2CD2" w:rsidRDefault="005C2CD2" w:rsidP="005C2CD2">
      <w:r>
        <w:t xml:space="preserve">It is the policy of the City of Columbia to invest idle public funds in a manner that is in compliance with Tennessee Code Annotated (T.C.A.) 6-56-106 and meets the daily cash flow demands of the City. </w:t>
      </w:r>
    </w:p>
    <w:p w:rsidR="005C2CD2" w:rsidRDefault="005C2CD2" w:rsidP="005C2CD2">
      <w:pPr>
        <w:spacing w:after="5" w:line="259" w:lineRule="auto"/>
      </w:pPr>
      <w:r>
        <w:t xml:space="preserve"> </w:t>
      </w:r>
    </w:p>
    <w:p w:rsidR="005C2CD2" w:rsidRDefault="005C2CD2" w:rsidP="005C2CD2">
      <w:pPr>
        <w:pStyle w:val="Heading2"/>
        <w:ind w:left="-5"/>
      </w:pPr>
      <w:r>
        <w:t>3.</w:t>
      </w:r>
      <w:r>
        <w:rPr>
          <w:rFonts w:ascii="Arial" w:eastAsia="Arial" w:hAnsi="Arial" w:cs="Arial"/>
        </w:rPr>
        <w:t xml:space="preserve"> </w:t>
      </w:r>
      <w:r>
        <w:t xml:space="preserve">OBJECTIVES </w:t>
      </w:r>
    </w:p>
    <w:p w:rsidR="005C2CD2" w:rsidRDefault="005C2CD2" w:rsidP="005C2CD2">
      <w:pPr>
        <w:spacing w:after="24" w:line="259" w:lineRule="auto"/>
        <w:ind w:left="360"/>
      </w:pPr>
      <w:r>
        <w:rPr>
          <w:b/>
        </w:rPr>
        <w:t xml:space="preserve">  </w:t>
      </w:r>
    </w:p>
    <w:p w:rsidR="005C2CD2" w:rsidRDefault="005C2CD2" w:rsidP="005C2CD2">
      <w:r>
        <w:t xml:space="preserve">The city’s investments shall be managed to accomplish the following hierarchy of objectives: a) Safety of Principal b) Maintenance of Liquidity and c) Achieve a Market Return. </w:t>
      </w:r>
    </w:p>
    <w:p w:rsidR="005C2CD2" w:rsidRDefault="005C2CD2" w:rsidP="005C2CD2">
      <w:pPr>
        <w:spacing w:after="5" w:line="259" w:lineRule="auto"/>
      </w:pPr>
      <w:r>
        <w:t xml:space="preserve"> </w:t>
      </w:r>
    </w:p>
    <w:p w:rsidR="005C2CD2" w:rsidRDefault="005C2CD2" w:rsidP="005C2CD2">
      <w:pPr>
        <w:pStyle w:val="Heading2"/>
        <w:ind w:left="730"/>
      </w:pPr>
      <w:r>
        <w:t>A)</w:t>
      </w:r>
      <w:r>
        <w:rPr>
          <w:rFonts w:ascii="Arial" w:eastAsia="Arial" w:hAnsi="Arial" w:cs="Arial"/>
        </w:rPr>
        <w:t xml:space="preserve"> </w:t>
      </w:r>
      <w:r>
        <w:t xml:space="preserve">Safety of Principal </w:t>
      </w:r>
    </w:p>
    <w:p w:rsidR="005C2CD2" w:rsidRDefault="005C2CD2" w:rsidP="005C2CD2">
      <w:pPr>
        <w:spacing w:line="259" w:lineRule="auto"/>
        <w:ind w:left="1080"/>
      </w:pPr>
      <w:r>
        <w:rPr>
          <w:b/>
        </w:rPr>
        <w:t xml:space="preserve"> </w:t>
      </w:r>
    </w:p>
    <w:p w:rsidR="005C2CD2" w:rsidRDefault="005C2CD2" w:rsidP="005C2CD2">
      <w:pPr>
        <w:ind w:left="715"/>
      </w:pPr>
      <w:r>
        <w:t xml:space="preserve">Safety of principal is the single most important objective of the investment program. Investments shall be undertaken in a manner that seeks to ensure the preservation of capital in the overall portfolio. The objective will be to mitigate the following risks: </w:t>
      </w:r>
    </w:p>
    <w:p w:rsidR="005C2CD2" w:rsidRDefault="005C2CD2" w:rsidP="005C2CD2">
      <w:pPr>
        <w:spacing w:after="5" w:line="259" w:lineRule="auto"/>
      </w:pPr>
      <w:r>
        <w:t xml:space="preserve"> </w:t>
      </w:r>
    </w:p>
    <w:p w:rsidR="005C2CD2" w:rsidRDefault="005C2CD2" w:rsidP="005C2CD2">
      <w:pPr>
        <w:pStyle w:val="Heading2"/>
        <w:tabs>
          <w:tab w:val="center" w:pos="1384"/>
          <w:tab w:val="center" w:pos="2348"/>
        </w:tabs>
      </w:pPr>
      <w:r>
        <w:rPr>
          <w:rFonts w:ascii="Calibri" w:eastAsia="Calibri" w:hAnsi="Calibri" w:cs="Calibri"/>
          <w:b w:val="0"/>
          <w:sz w:val="22"/>
        </w:rPr>
        <w:tab/>
      </w:r>
      <w:proofErr w:type="spellStart"/>
      <w:r>
        <w:t>i</w:t>
      </w:r>
      <w:proofErr w:type="spellEnd"/>
      <w:r>
        <w:t>.</w:t>
      </w:r>
      <w:r>
        <w:rPr>
          <w:rFonts w:ascii="Arial" w:eastAsia="Arial" w:hAnsi="Arial" w:cs="Arial"/>
        </w:rPr>
        <w:t xml:space="preserve"> </w:t>
      </w:r>
      <w:r>
        <w:rPr>
          <w:rFonts w:ascii="Arial" w:eastAsia="Arial" w:hAnsi="Arial" w:cs="Arial"/>
        </w:rPr>
        <w:tab/>
      </w:r>
      <w:r>
        <w:t xml:space="preserve">Credit Risk </w:t>
      </w:r>
    </w:p>
    <w:p w:rsidR="005C2CD2" w:rsidRDefault="005C2CD2" w:rsidP="005C2CD2">
      <w:pPr>
        <w:spacing w:line="259" w:lineRule="auto"/>
        <w:ind w:left="1800"/>
      </w:pPr>
      <w:r>
        <w:rPr>
          <w:b/>
        </w:rPr>
        <w:t xml:space="preserve"> </w:t>
      </w:r>
    </w:p>
    <w:p w:rsidR="005C2CD2" w:rsidRDefault="005C2CD2" w:rsidP="005C2CD2">
      <w:pPr>
        <w:ind w:left="1450"/>
      </w:pPr>
      <w:r>
        <w:t xml:space="preserve">The City will minimize credit risk, which is the risk of loss due to the failure of the investment issuer or backer, by: </w:t>
      </w:r>
    </w:p>
    <w:p w:rsidR="005C2CD2" w:rsidRDefault="005C2CD2" w:rsidP="005C2CD2">
      <w:pPr>
        <w:numPr>
          <w:ilvl w:val="0"/>
          <w:numId w:val="38"/>
        </w:numPr>
        <w:spacing w:after="3" w:line="257" w:lineRule="auto"/>
        <w:ind w:hanging="361"/>
        <w:jc w:val="both"/>
      </w:pPr>
      <w:r>
        <w:t xml:space="preserve">Limiting the portfolio to the types of investments pursuant to TCA 6-56-106; </w:t>
      </w:r>
    </w:p>
    <w:p w:rsidR="005C2CD2" w:rsidRDefault="005C2CD2" w:rsidP="005C2CD2">
      <w:pPr>
        <w:numPr>
          <w:ilvl w:val="0"/>
          <w:numId w:val="38"/>
        </w:numPr>
        <w:spacing w:after="3" w:line="257" w:lineRule="auto"/>
        <w:ind w:hanging="361"/>
        <w:jc w:val="both"/>
      </w:pPr>
      <w:r>
        <w:t xml:space="preserve">Diversifying the investment portfolio so that the impact of potential losses from any one type of security or from any one individual issuer will be minimized. </w:t>
      </w:r>
    </w:p>
    <w:p w:rsidR="005C2CD2" w:rsidRDefault="005C2CD2" w:rsidP="005C2CD2">
      <w:pPr>
        <w:spacing w:line="259" w:lineRule="auto"/>
      </w:pPr>
      <w:r>
        <w:t xml:space="preserve"> </w:t>
      </w:r>
    </w:p>
    <w:p w:rsidR="005C2CD2" w:rsidRDefault="005C2CD2" w:rsidP="005C2CD2">
      <w:pPr>
        <w:pStyle w:val="Heading2"/>
        <w:tabs>
          <w:tab w:val="center" w:pos="1352"/>
          <w:tab w:val="center" w:pos="2657"/>
        </w:tabs>
      </w:pPr>
      <w:r>
        <w:rPr>
          <w:rFonts w:ascii="Calibri" w:eastAsia="Calibri" w:hAnsi="Calibri" w:cs="Calibri"/>
          <w:b w:val="0"/>
          <w:sz w:val="22"/>
        </w:rPr>
        <w:tab/>
      </w:r>
      <w:r>
        <w:t>ii.</w:t>
      </w:r>
      <w:r>
        <w:rPr>
          <w:rFonts w:ascii="Arial" w:eastAsia="Arial" w:hAnsi="Arial" w:cs="Arial"/>
        </w:rPr>
        <w:t xml:space="preserve"> </w:t>
      </w:r>
      <w:r>
        <w:rPr>
          <w:rFonts w:ascii="Arial" w:eastAsia="Arial" w:hAnsi="Arial" w:cs="Arial"/>
        </w:rPr>
        <w:tab/>
      </w:r>
      <w:r>
        <w:t xml:space="preserve">Interest Rate Risk </w:t>
      </w:r>
    </w:p>
    <w:p w:rsidR="005C2CD2" w:rsidRDefault="005C2CD2" w:rsidP="005C2CD2">
      <w:pPr>
        <w:spacing w:line="259" w:lineRule="auto"/>
        <w:ind w:left="1800"/>
      </w:pPr>
      <w:r>
        <w:rPr>
          <w:b/>
        </w:rPr>
        <w:t xml:space="preserve"> </w:t>
      </w:r>
    </w:p>
    <w:p w:rsidR="005C2CD2" w:rsidRDefault="005C2CD2" w:rsidP="005C2CD2">
      <w:pPr>
        <w:ind w:left="1450"/>
      </w:pPr>
      <w:r>
        <w:t xml:space="preserve">The City will minimize interest rate risk, which is the risk that the market value of investments in the portfolio will fall due to changes in market interest rates, by: </w:t>
      </w:r>
    </w:p>
    <w:p w:rsidR="005C2CD2" w:rsidRDefault="005C2CD2" w:rsidP="005C2CD2">
      <w:pPr>
        <w:spacing w:after="18" w:line="259" w:lineRule="auto"/>
        <w:ind w:left="1440"/>
      </w:pPr>
      <w:r>
        <w:t xml:space="preserve"> </w:t>
      </w:r>
    </w:p>
    <w:p w:rsidR="005C2CD2" w:rsidRDefault="005C2CD2" w:rsidP="005C2CD2">
      <w:pPr>
        <w:numPr>
          <w:ilvl w:val="0"/>
          <w:numId w:val="39"/>
        </w:numPr>
        <w:spacing w:after="3" w:line="257" w:lineRule="auto"/>
        <w:ind w:hanging="361"/>
        <w:jc w:val="both"/>
      </w:pPr>
      <w:r>
        <w:lastRenderedPageBreak/>
        <w:t xml:space="preserve">Structuring the portfolio to meet the cash requirements of ongoing operations, thereby mitigating the need to liquidate investments at a loss prior to maturity; </w:t>
      </w:r>
    </w:p>
    <w:p w:rsidR="005C2CD2" w:rsidRDefault="005C2CD2" w:rsidP="005C2CD2">
      <w:pPr>
        <w:numPr>
          <w:ilvl w:val="0"/>
          <w:numId w:val="39"/>
        </w:numPr>
        <w:spacing w:after="3" w:line="257" w:lineRule="auto"/>
        <w:ind w:hanging="361"/>
        <w:jc w:val="both"/>
      </w:pPr>
      <w:r>
        <w:t xml:space="preserve">Investing operating funds primarily in shorter-term investments and limiting the average maturity of the portfolio in accordance with this policy in accordance with T.C.A. 6-56-106. </w:t>
      </w:r>
    </w:p>
    <w:p w:rsidR="005C2CD2" w:rsidRDefault="005C2CD2" w:rsidP="005C2CD2">
      <w:pPr>
        <w:pStyle w:val="Heading2"/>
        <w:tabs>
          <w:tab w:val="center" w:pos="1322"/>
          <w:tab w:val="center" w:pos="2721"/>
        </w:tabs>
      </w:pPr>
      <w:r>
        <w:rPr>
          <w:rFonts w:ascii="Calibri" w:eastAsia="Calibri" w:hAnsi="Calibri" w:cs="Calibri"/>
          <w:b w:val="0"/>
          <w:sz w:val="22"/>
        </w:rPr>
        <w:tab/>
      </w:r>
      <w:r>
        <w:t>iii.</w:t>
      </w:r>
      <w:r>
        <w:rPr>
          <w:rFonts w:ascii="Arial" w:eastAsia="Arial" w:hAnsi="Arial" w:cs="Arial"/>
        </w:rPr>
        <w:t xml:space="preserve"> </w:t>
      </w:r>
      <w:r>
        <w:rPr>
          <w:rFonts w:ascii="Arial" w:eastAsia="Arial" w:hAnsi="Arial" w:cs="Arial"/>
        </w:rPr>
        <w:tab/>
      </w:r>
      <w:r>
        <w:t xml:space="preserve">Concentration Risk </w:t>
      </w:r>
    </w:p>
    <w:p w:rsidR="005C2CD2" w:rsidRDefault="005C2CD2" w:rsidP="005C2CD2">
      <w:pPr>
        <w:spacing w:line="259" w:lineRule="auto"/>
        <w:ind w:left="1800"/>
      </w:pPr>
      <w:r>
        <w:rPr>
          <w:b/>
        </w:rPr>
        <w:t xml:space="preserve"> </w:t>
      </w:r>
    </w:p>
    <w:p w:rsidR="005C2CD2" w:rsidRDefault="005C2CD2" w:rsidP="005C2CD2">
      <w:pPr>
        <w:ind w:left="1450"/>
      </w:pPr>
      <w:r>
        <w:t xml:space="preserve">The City will minimize Concentration of Credit Risk, which is the risk of loss due to having a significant portion of resources invested in a single issuer, by diversifying the investment portfolio as described in </w:t>
      </w:r>
      <w:r>
        <w:rPr>
          <w:b/>
          <w:i/>
        </w:rPr>
        <w:t>Portfolio Diversification</w:t>
      </w:r>
      <w:r>
        <w:t xml:space="preserve"> section. Diversification so that the impact of potential losses from any one type of security or issuer will be minimized. Investments issued or explicitly guaranteed by the U.S. government or Tennessee Bank Collateral Pool, Tennessee Local Government Investment Pool (LGIP) and any other external investment pools authorized by that are authorized by the State are excluded from this requirement. </w:t>
      </w:r>
    </w:p>
    <w:p w:rsidR="005C2CD2" w:rsidRDefault="005C2CD2" w:rsidP="005C2CD2">
      <w:pPr>
        <w:spacing w:after="5" w:line="259" w:lineRule="auto"/>
      </w:pPr>
      <w:r>
        <w:t xml:space="preserve"> </w:t>
      </w:r>
    </w:p>
    <w:p w:rsidR="005C2CD2" w:rsidRDefault="005C2CD2" w:rsidP="005C2CD2">
      <w:pPr>
        <w:pStyle w:val="Heading2"/>
        <w:tabs>
          <w:tab w:val="center" w:pos="1328"/>
          <w:tab w:val="center" w:pos="2828"/>
        </w:tabs>
      </w:pPr>
      <w:r>
        <w:rPr>
          <w:rFonts w:ascii="Calibri" w:eastAsia="Calibri" w:hAnsi="Calibri" w:cs="Calibri"/>
          <w:b w:val="0"/>
          <w:sz w:val="22"/>
        </w:rPr>
        <w:tab/>
      </w:r>
      <w:r>
        <w:t>iv.</w:t>
      </w:r>
      <w:r>
        <w:rPr>
          <w:rFonts w:ascii="Arial" w:eastAsia="Arial" w:hAnsi="Arial" w:cs="Arial"/>
        </w:rPr>
        <w:t xml:space="preserve"> </w:t>
      </w:r>
      <w:r>
        <w:rPr>
          <w:rFonts w:ascii="Arial" w:eastAsia="Arial" w:hAnsi="Arial" w:cs="Arial"/>
        </w:rPr>
        <w:tab/>
      </w:r>
      <w:r>
        <w:t xml:space="preserve">Custodial Credit Risk </w:t>
      </w:r>
    </w:p>
    <w:p w:rsidR="005C2CD2" w:rsidRDefault="005C2CD2" w:rsidP="005C2CD2">
      <w:pPr>
        <w:spacing w:line="259" w:lineRule="auto"/>
        <w:ind w:left="1440"/>
      </w:pPr>
      <w:r>
        <w:rPr>
          <w:b/>
        </w:rPr>
        <w:t xml:space="preserve"> </w:t>
      </w:r>
    </w:p>
    <w:p w:rsidR="005C2CD2" w:rsidRDefault="005C2CD2" w:rsidP="005C2CD2">
      <w:pPr>
        <w:ind w:left="1450"/>
      </w:pPr>
      <w:r>
        <w:t xml:space="preserve">The City will minimize Custodial Credit Risk for deposits, which is the risk that in the event of the failure of a depository financial institution the deposits or collateralized investments that are in the possession of an outside party would not be able to be recovered. See </w:t>
      </w:r>
      <w:r>
        <w:rPr>
          <w:b/>
          <w:i/>
        </w:rPr>
        <w:t>Collateralization</w:t>
      </w:r>
      <w:r>
        <w:rPr>
          <w:i/>
        </w:rPr>
        <w:t xml:space="preserve"> </w:t>
      </w:r>
      <w:r>
        <w:t xml:space="preserve">below. </w:t>
      </w:r>
    </w:p>
    <w:p w:rsidR="005C2CD2" w:rsidRDefault="005C2CD2" w:rsidP="005C2CD2">
      <w:pPr>
        <w:spacing w:line="259" w:lineRule="auto"/>
        <w:ind w:left="1440"/>
      </w:pPr>
      <w:r>
        <w:t xml:space="preserve"> </w:t>
      </w:r>
    </w:p>
    <w:p w:rsidR="005C2CD2" w:rsidRDefault="005C2CD2" w:rsidP="005C2CD2">
      <w:pPr>
        <w:ind w:left="1450"/>
      </w:pPr>
      <w:r>
        <w:t xml:space="preserve">The City will minimize Custodial Credit Risk for investments, which is the risk that in the event of the failure of the counterparty to a transaction the value or collateralized investments that are in the possession of an outside party would not be able to be recovered. See </w:t>
      </w:r>
      <w:r>
        <w:rPr>
          <w:b/>
          <w:i/>
        </w:rPr>
        <w:t>Safekeeping and Custody</w:t>
      </w:r>
      <w:r>
        <w:t xml:space="preserve"> below. </w:t>
      </w:r>
    </w:p>
    <w:p w:rsidR="005C2CD2" w:rsidRDefault="005C2CD2" w:rsidP="005C2CD2">
      <w:pPr>
        <w:spacing w:after="5" w:line="259" w:lineRule="auto"/>
      </w:pPr>
      <w:r>
        <w:t xml:space="preserve"> </w:t>
      </w:r>
    </w:p>
    <w:p w:rsidR="005C2CD2" w:rsidRDefault="005C2CD2" w:rsidP="005C2CD2">
      <w:pPr>
        <w:pStyle w:val="Heading2"/>
        <w:ind w:left="730"/>
      </w:pPr>
      <w:r>
        <w:t>B)</w:t>
      </w:r>
      <w:r>
        <w:rPr>
          <w:rFonts w:ascii="Arial" w:eastAsia="Arial" w:hAnsi="Arial" w:cs="Arial"/>
        </w:rPr>
        <w:t xml:space="preserve"> </w:t>
      </w:r>
      <w:r>
        <w:t xml:space="preserve">Maintenance of Liquidity </w:t>
      </w:r>
    </w:p>
    <w:p w:rsidR="005C2CD2" w:rsidRDefault="005C2CD2" w:rsidP="005C2CD2">
      <w:pPr>
        <w:spacing w:line="259" w:lineRule="auto"/>
        <w:ind w:left="1080"/>
      </w:pPr>
      <w:r>
        <w:rPr>
          <w:b/>
        </w:rPr>
        <w:t xml:space="preserve"> </w:t>
      </w:r>
    </w:p>
    <w:p w:rsidR="005C2CD2" w:rsidRDefault="005C2CD2" w:rsidP="005C2CD2">
      <w:pPr>
        <w:ind w:left="715"/>
      </w:pPr>
      <w:r>
        <w:t xml:space="preserve">The City Portfolio shall be managed in such a manner that assures that funds are available as needed to meet those immediate and/or future operating requirements of the City, including but not limited to payroll, accounts payable, capital projects, debt service and any other payments. </w:t>
      </w:r>
    </w:p>
    <w:p w:rsidR="005C2CD2" w:rsidRDefault="005C2CD2" w:rsidP="005C2CD2">
      <w:pPr>
        <w:spacing w:after="5" w:line="259" w:lineRule="auto"/>
        <w:ind w:left="720"/>
      </w:pPr>
      <w:r>
        <w:t xml:space="preserve"> </w:t>
      </w:r>
    </w:p>
    <w:p w:rsidR="005C2CD2" w:rsidRDefault="005C2CD2" w:rsidP="005C2CD2">
      <w:pPr>
        <w:pStyle w:val="Heading2"/>
        <w:ind w:left="730"/>
      </w:pPr>
      <w:r>
        <w:t>C)</w:t>
      </w:r>
      <w:r>
        <w:rPr>
          <w:rFonts w:ascii="Arial" w:eastAsia="Arial" w:hAnsi="Arial" w:cs="Arial"/>
        </w:rPr>
        <w:t xml:space="preserve"> </w:t>
      </w:r>
      <w:r>
        <w:t>Achieve a Market Return</w:t>
      </w:r>
      <w:r>
        <w:rPr>
          <w:b w:val="0"/>
        </w:rPr>
        <w:t xml:space="preserve"> </w:t>
      </w:r>
    </w:p>
    <w:p w:rsidR="005C2CD2" w:rsidRDefault="005C2CD2" w:rsidP="005C2CD2">
      <w:pPr>
        <w:spacing w:line="259" w:lineRule="auto"/>
        <w:ind w:left="1080"/>
      </w:pPr>
      <w:r>
        <w:t xml:space="preserve"> </w:t>
      </w:r>
    </w:p>
    <w:p w:rsidR="005C2CD2" w:rsidRDefault="005C2CD2" w:rsidP="005C2CD2">
      <w:pPr>
        <w:ind w:left="715"/>
      </w:pPr>
      <w:r>
        <w:t xml:space="preserve">The investment portfolio shall be designed with the objective of achieving a market return throughout budgetary and economic cycles, taking into account the investment risk constraints and liquidity needs. Return on investment is of secondary importance compared to the safety and liquidity objectives described above. The core investments are limited to relatively low risk securities in anticipation of earning a market return relative to the risk being assumed. </w:t>
      </w:r>
    </w:p>
    <w:p w:rsidR="005C2CD2" w:rsidRDefault="005C2CD2" w:rsidP="005C2CD2">
      <w:pPr>
        <w:spacing w:line="259" w:lineRule="auto"/>
      </w:pPr>
      <w:r>
        <w:rPr>
          <w:b/>
        </w:rPr>
        <w:t xml:space="preserve"> </w:t>
      </w:r>
    </w:p>
    <w:p w:rsidR="005C2CD2" w:rsidRDefault="005C2CD2" w:rsidP="005C2CD2">
      <w:pPr>
        <w:spacing w:after="2" w:line="259" w:lineRule="auto"/>
        <w:ind w:left="-5"/>
      </w:pPr>
      <w:r>
        <w:rPr>
          <w:b/>
        </w:rPr>
        <w:t>4.</w:t>
      </w:r>
      <w:r>
        <w:rPr>
          <w:rFonts w:ascii="Arial" w:eastAsia="Arial" w:hAnsi="Arial" w:cs="Arial"/>
          <w:b/>
        </w:rPr>
        <w:t xml:space="preserve"> </w:t>
      </w:r>
      <w:r>
        <w:rPr>
          <w:b/>
        </w:rPr>
        <w:t xml:space="preserve">STANDARDS OF CARE </w:t>
      </w:r>
    </w:p>
    <w:p w:rsidR="005C2CD2" w:rsidRDefault="005C2CD2" w:rsidP="005C2CD2">
      <w:pPr>
        <w:spacing w:after="5" w:line="259" w:lineRule="auto"/>
      </w:pPr>
      <w:r>
        <w:lastRenderedPageBreak/>
        <w:t xml:space="preserve"> </w:t>
      </w:r>
    </w:p>
    <w:p w:rsidR="005C2CD2" w:rsidRDefault="005C2CD2" w:rsidP="005C2CD2">
      <w:pPr>
        <w:pStyle w:val="Heading2"/>
        <w:ind w:left="730"/>
      </w:pPr>
      <w:r>
        <w:t>A)</w:t>
      </w:r>
      <w:r>
        <w:rPr>
          <w:rFonts w:ascii="Arial" w:eastAsia="Arial" w:hAnsi="Arial" w:cs="Arial"/>
        </w:rPr>
        <w:t xml:space="preserve"> </w:t>
      </w:r>
      <w:r>
        <w:t xml:space="preserve">Prudence </w:t>
      </w:r>
    </w:p>
    <w:p w:rsidR="005C2CD2" w:rsidRDefault="005C2CD2" w:rsidP="005C2CD2">
      <w:pPr>
        <w:spacing w:line="259" w:lineRule="auto"/>
        <w:ind w:left="1080"/>
      </w:pPr>
      <w:r>
        <w:rPr>
          <w:b/>
        </w:rPr>
        <w:t xml:space="preserve"> </w:t>
      </w:r>
    </w:p>
    <w:p w:rsidR="005C2CD2" w:rsidRDefault="005C2CD2" w:rsidP="005C2CD2">
      <w:pPr>
        <w:ind w:left="715"/>
      </w:pPr>
      <w:r>
        <w:t xml:space="preserve">The standard of prudence to be used by investment officials shall be the "prudent person" standard and shall be applied in the context of managing an overall portfolio. Investment officers acting in accordance with written procedures and this Investment Policy and exercising due diligence shall be relieved of personal responsibility for an individual security's credit risk or market price changes, provided deviations from expectations are reported in a timely fashion and the liquidity and the sale of securities are carried out in accordance with the terms of this policy. </w:t>
      </w:r>
    </w:p>
    <w:p w:rsidR="005C2CD2" w:rsidRDefault="005C2CD2" w:rsidP="005C2CD2">
      <w:pPr>
        <w:spacing w:line="259" w:lineRule="auto"/>
        <w:ind w:left="720"/>
      </w:pPr>
      <w:r>
        <w:t xml:space="preserve"> </w:t>
      </w:r>
    </w:p>
    <w:p w:rsidR="005C2CD2" w:rsidRDefault="005C2CD2" w:rsidP="005C2CD2">
      <w:pPr>
        <w:ind w:left="715"/>
      </w:pPr>
      <w:r>
        <w:t xml:space="preserve">The "prudent person" standard states that, "Investments shall be made with judgment and care, under circumstances then prevailing, which persons of prudence, discretion and intelligence exercise in the management of their own affairs, not for speculation, but for investment, considering the probable safety of their capital as well as the probable income to be derived." </w:t>
      </w:r>
    </w:p>
    <w:p w:rsidR="005C2CD2" w:rsidRDefault="005C2CD2" w:rsidP="005C2CD2">
      <w:pPr>
        <w:spacing w:line="259" w:lineRule="auto"/>
        <w:ind w:left="720"/>
      </w:pPr>
      <w:r>
        <w:t xml:space="preserve"> </w:t>
      </w:r>
    </w:p>
    <w:p w:rsidR="005C2CD2" w:rsidRDefault="005C2CD2" w:rsidP="005C2CD2">
      <w:pPr>
        <w:ind w:left="715"/>
      </w:pPr>
      <w:r>
        <w:t xml:space="preserve">The City may employ an outside investment manager(s) to assist in managing some or all of the </w:t>
      </w:r>
    </w:p>
    <w:p w:rsidR="005C2CD2" w:rsidRDefault="005C2CD2" w:rsidP="005C2CD2">
      <w:pPr>
        <w:ind w:left="715"/>
      </w:pPr>
      <w:r>
        <w:t xml:space="preserve">City Portfolio.  Such outside investment manager(s) must be registered under the Investment Advisors Act of 1940. While the standard of prudence to be used by the “Investment Officer” who are City officers or employees is the “Prudent Person” standard, any person or firm hired or retained to invest, monitor, or advise concerning these assets shall be held to the higher standard of “Prudent Expert”.  The standard shall be that in investing and reinvesting moneys and in acquiring, retaining, managing, and disposing of investments of these funds, the Investment Advisor shall exercise: the judgment, care, skill, prudence, and diligence under the circumstances then prevailing, which persons of prudence, discretion, and intelligence, acting in a like capacity and familiar with such matters would use in the conduct of an enterprise of like character and with like aims by diversifying the investments of the funds, so as to minimize the risk, considering the probable income as well as the probable safety of their capital. </w:t>
      </w:r>
    </w:p>
    <w:p w:rsidR="005C2CD2" w:rsidRDefault="005C2CD2" w:rsidP="005C2CD2">
      <w:pPr>
        <w:spacing w:line="259" w:lineRule="auto"/>
        <w:ind w:left="720"/>
      </w:pPr>
      <w:r>
        <w:t xml:space="preserve"> </w:t>
      </w:r>
    </w:p>
    <w:p w:rsidR="005C2CD2" w:rsidRDefault="005C2CD2" w:rsidP="005C2CD2">
      <w:pPr>
        <w:pStyle w:val="Heading2"/>
        <w:ind w:left="730"/>
      </w:pPr>
      <w:r>
        <w:t>B)</w:t>
      </w:r>
      <w:r>
        <w:rPr>
          <w:rFonts w:ascii="Arial" w:eastAsia="Arial" w:hAnsi="Arial" w:cs="Arial"/>
        </w:rPr>
        <w:t xml:space="preserve"> </w:t>
      </w:r>
      <w:r>
        <w:t xml:space="preserve">Ethics and Conflicts of Interest </w:t>
      </w:r>
    </w:p>
    <w:p w:rsidR="005C2CD2" w:rsidRDefault="005C2CD2" w:rsidP="005C2CD2">
      <w:pPr>
        <w:spacing w:line="259" w:lineRule="auto"/>
        <w:ind w:left="1080"/>
      </w:pPr>
      <w:r>
        <w:rPr>
          <w:b/>
        </w:rPr>
        <w:t xml:space="preserve"> </w:t>
      </w:r>
    </w:p>
    <w:p w:rsidR="005C2CD2" w:rsidRDefault="005C2CD2" w:rsidP="005C2CD2">
      <w:pPr>
        <w:spacing w:after="169"/>
        <w:ind w:left="715"/>
      </w:pPr>
      <w:r>
        <w:t xml:space="preserve">City employees involved in the investment process for the City shall refrain from personal business activity that could conflict with the proper execution and management of the investment program, or that could impair their ability to make impartial decisions. City employees and investment officials shall disclose any material interests in financial institutions with which they conduct business. Further, said employees and officers shall disclose any personal finance or investment positions that could be related to the performance of the City Portfolio. City employees and officers shall refrain from undertaking personal investment transactions with the same individual with whom business is conducted on behalf of the City. </w:t>
      </w:r>
    </w:p>
    <w:p w:rsidR="005C2CD2" w:rsidRDefault="005C2CD2" w:rsidP="005C2CD2">
      <w:pPr>
        <w:pStyle w:val="Heading2"/>
        <w:ind w:left="730"/>
      </w:pPr>
      <w:r>
        <w:t>C)</w:t>
      </w:r>
      <w:r>
        <w:rPr>
          <w:rFonts w:ascii="Arial" w:eastAsia="Arial" w:hAnsi="Arial" w:cs="Arial"/>
        </w:rPr>
        <w:t xml:space="preserve"> </w:t>
      </w:r>
      <w:r>
        <w:t xml:space="preserve">Delegation of Authority </w:t>
      </w:r>
    </w:p>
    <w:p w:rsidR="005C2CD2" w:rsidRDefault="005C2CD2" w:rsidP="005C2CD2">
      <w:pPr>
        <w:spacing w:after="5" w:line="259" w:lineRule="auto"/>
        <w:ind w:left="1080"/>
      </w:pPr>
      <w:r>
        <w:rPr>
          <w:b/>
        </w:rPr>
        <w:t xml:space="preserve"> </w:t>
      </w:r>
    </w:p>
    <w:p w:rsidR="005C2CD2" w:rsidRDefault="005C2CD2" w:rsidP="005C2CD2">
      <w:pPr>
        <w:ind w:left="715"/>
      </w:pPr>
      <w:r>
        <w:lastRenderedPageBreak/>
        <w:t xml:space="preserve">Authority to manage the investment program is granted to the city’s Chief Financial Officer (CFO), hereinafter referred to as the </w:t>
      </w:r>
      <w:r>
        <w:rPr>
          <w:i/>
        </w:rPr>
        <w:t>Investment Officer,</w:t>
      </w:r>
      <w:r>
        <w:t xml:space="preserve"> appointed by the City Manager pursuant to the Columbia Municipal Charter. The Assistant Finance Director may act in the capacity of Investment Officer as needed day-to-day or on a temporary basis in cases when the CFO is unable to discharge duties. </w:t>
      </w:r>
    </w:p>
    <w:p w:rsidR="005C2CD2" w:rsidRDefault="005C2CD2" w:rsidP="005C2CD2">
      <w:pPr>
        <w:spacing w:line="259" w:lineRule="auto"/>
        <w:ind w:left="720"/>
      </w:pPr>
      <w:r>
        <w:t xml:space="preserve"> </w:t>
      </w:r>
    </w:p>
    <w:p w:rsidR="005C2CD2" w:rsidRDefault="005C2CD2" w:rsidP="005C2CD2">
      <w:pPr>
        <w:numPr>
          <w:ilvl w:val="0"/>
          <w:numId w:val="40"/>
        </w:numPr>
        <w:spacing w:after="3" w:line="257" w:lineRule="auto"/>
        <w:ind w:left="1832" w:hanging="538"/>
        <w:jc w:val="both"/>
      </w:pPr>
      <w:r>
        <w:t xml:space="preserve">Investments authorized by this policy may be approved by the City Manager, Investment Officer or Assistant Finance Director; </w:t>
      </w:r>
    </w:p>
    <w:p w:rsidR="005C2CD2" w:rsidRDefault="005C2CD2" w:rsidP="005C2CD2">
      <w:pPr>
        <w:spacing w:line="259" w:lineRule="auto"/>
        <w:ind w:left="1800"/>
      </w:pPr>
      <w:r>
        <w:t xml:space="preserve"> </w:t>
      </w:r>
    </w:p>
    <w:p w:rsidR="005C2CD2" w:rsidRDefault="005C2CD2" w:rsidP="005C2CD2">
      <w:pPr>
        <w:numPr>
          <w:ilvl w:val="0"/>
          <w:numId w:val="40"/>
        </w:numPr>
        <w:spacing w:after="3" w:line="257" w:lineRule="auto"/>
        <w:ind w:left="1832" w:hanging="538"/>
        <w:jc w:val="both"/>
      </w:pPr>
      <w:r>
        <w:t xml:space="preserve">Investments with a maturity date exceeding two years or in an amount exceeding $10,000,000 shall also be approved by either the City Manager or Investment Officer. </w:t>
      </w:r>
    </w:p>
    <w:p w:rsidR="005C2CD2" w:rsidRDefault="005C2CD2" w:rsidP="005C2CD2">
      <w:pPr>
        <w:spacing w:line="259" w:lineRule="auto"/>
        <w:ind w:left="720"/>
      </w:pPr>
      <w:r>
        <w:t xml:space="preserve"> </w:t>
      </w:r>
    </w:p>
    <w:p w:rsidR="005C2CD2" w:rsidRDefault="005C2CD2" w:rsidP="005C2CD2">
      <w:pPr>
        <w:ind w:left="715"/>
      </w:pPr>
      <w:r>
        <w:t xml:space="preserve">The Investment Officer, Assistant Finance Director and City Manager, acting in accordance with this Investment Policy and exercising due diligence, shall be relieved of personal responsibility for the failure of any investment to perform according to expectations, provided that the Investment Officer shall report any deviations from expectations in a timely fashion. </w:t>
      </w:r>
    </w:p>
    <w:p w:rsidR="005C2CD2" w:rsidRDefault="005C2CD2" w:rsidP="005C2CD2">
      <w:pPr>
        <w:spacing w:line="259" w:lineRule="auto"/>
        <w:ind w:left="720"/>
      </w:pPr>
      <w:r>
        <w:t xml:space="preserve"> </w:t>
      </w:r>
    </w:p>
    <w:p w:rsidR="005C2CD2" w:rsidRDefault="005C2CD2" w:rsidP="005C2CD2">
      <w:pPr>
        <w:spacing w:line="259" w:lineRule="auto"/>
        <w:ind w:left="720"/>
      </w:pPr>
      <w:r>
        <w:t xml:space="preserve"> </w:t>
      </w:r>
    </w:p>
    <w:p w:rsidR="005C2CD2" w:rsidRDefault="005C2CD2" w:rsidP="005C2CD2">
      <w:pPr>
        <w:pStyle w:val="Heading2"/>
        <w:ind w:left="-5"/>
      </w:pPr>
      <w:r>
        <w:t>5.</w:t>
      </w:r>
      <w:r>
        <w:rPr>
          <w:rFonts w:ascii="Arial" w:eastAsia="Arial" w:hAnsi="Arial" w:cs="Arial"/>
        </w:rPr>
        <w:t xml:space="preserve"> </w:t>
      </w:r>
      <w:r>
        <w:t xml:space="preserve">AUTHORIZED FINANCIAL INSTITUTIONS </w:t>
      </w:r>
    </w:p>
    <w:p w:rsidR="005C2CD2" w:rsidRDefault="005C2CD2" w:rsidP="005C2CD2">
      <w:pPr>
        <w:spacing w:line="259" w:lineRule="auto"/>
      </w:pPr>
      <w:r>
        <w:t xml:space="preserve"> </w:t>
      </w:r>
    </w:p>
    <w:p w:rsidR="005C2CD2" w:rsidRDefault="005C2CD2" w:rsidP="005C2CD2">
      <w:r>
        <w:t xml:space="preserve">A list will be maintained of financial institutions and depositories authorized to provide investment services. All financial institutions who desire to become qualified for investment transactions must supply the following as appropriate: </w:t>
      </w:r>
    </w:p>
    <w:p w:rsidR="005C2CD2" w:rsidRDefault="005C2CD2" w:rsidP="005C2CD2">
      <w:pPr>
        <w:spacing w:line="259" w:lineRule="auto"/>
      </w:pPr>
      <w:r>
        <w:t xml:space="preserve"> </w:t>
      </w:r>
    </w:p>
    <w:p w:rsidR="005C2CD2" w:rsidRDefault="005C2CD2" w:rsidP="005C2CD2">
      <w:pPr>
        <w:numPr>
          <w:ilvl w:val="0"/>
          <w:numId w:val="41"/>
        </w:numPr>
        <w:spacing w:after="3" w:line="257" w:lineRule="auto"/>
        <w:ind w:hanging="360"/>
        <w:jc w:val="both"/>
      </w:pPr>
      <w:r>
        <w:t xml:space="preserve">Audited financial statements demonstrating compliance with state and federal capital adequacy guidelines; </w:t>
      </w:r>
    </w:p>
    <w:p w:rsidR="005C2CD2" w:rsidRDefault="005C2CD2" w:rsidP="005C2CD2">
      <w:pPr>
        <w:numPr>
          <w:ilvl w:val="0"/>
          <w:numId w:val="41"/>
        </w:numPr>
        <w:spacing w:after="3" w:line="257" w:lineRule="auto"/>
        <w:ind w:hanging="360"/>
        <w:jc w:val="both"/>
      </w:pPr>
      <w:r>
        <w:t xml:space="preserve">Proof of membership in the Tennessee Bank Collateral Pool; </w:t>
      </w:r>
    </w:p>
    <w:p w:rsidR="005C2CD2" w:rsidRDefault="005C2CD2" w:rsidP="005C2CD2">
      <w:pPr>
        <w:numPr>
          <w:ilvl w:val="0"/>
          <w:numId w:val="41"/>
        </w:numPr>
        <w:spacing w:after="3" w:line="257" w:lineRule="auto"/>
        <w:ind w:hanging="360"/>
        <w:jc w:val="both"/>
      </w:pPr>
      <w:r>
        <w:t xml:space="preserve">Certification of having read and understood and agreeing to comply with the City's Investment Policy. </w:t>
      </w:r>
    </w:p>
    <w:p w:rsidR="005C2CD2" w:rsidRDefault="005C2CD2" w:rsidP="005C2CD2">
      <w:pPr>
        <w:spacing w:line="259" w:lineRule="auto"/>
      </w:pPr>
      <w:r>
        <w:t xml:space="preserve"> </w:t>
      </w:r>
    </w:p>
    <w:p w:rsidR="005C2CD2" w:rsidRDefault="005C2CD2" w:rsidP="005C2CD2">
      <w:r>
        <w:t xml:space="preserve">Nothing in Section No. 5 precludes the City from using a qualified financial advisory/investment firm or investment services, the standard of care to be exercised by such a professional service provider outlined in Section 4(A). </w:t>
      </w:r>
    </w:p>
    <w:p w:rsidR="005C2CD2" w:rsidRDefault="005C2CD2" w:rsidP="005C2CD2">
      <w:pPr>
        <w:spacing w:after="5" w:line="259" w:lineRule="auto"/>
        <w:ind w:left="360"/>
      </w:pPr>
      <w:r>
        <w:t xml:space="preserve"> </w:t>
      </w:r>
    </w:p>
    <w:p w:rsidR="005C2CD2" w:rsidRDefault="005C2CD2" w:rsidP="005C2CD2">
      <w:pPr>
        <w:pStyle w:val="Heading2"/>
        <w:ind w:left="-5"/>
      </w:pPr>
      <w:r>
        <w:t>6.</w:t>
      </w:r>
      <w:r>
        <w:rPr>
          <w:rFonts w:ascii="Arial" w:eastAsia="Arial" w:hAnsi="Arial" w:cs="Arial"/>
        </w:rPr>
        <w:t xml:space="preserve"> </w:t>
      </w:r>
      <w:r>
        <w:t xml:space="preserve">AUTHORIZED AND SUITABLE INVESTMENTS </w:t>
      </w:r>
    </w:p>
    <w:p w:rsidR="005C2CD2" w:rsidRDefault="005C2CD2" w:rsidP="005C2CD2">
      <w:pPr>
        <w:spacing w:line="259" w:lineRule="auto"/>
        <w:ind w:left="360"/>
      </w:pPr>
      <w:r>
        <w:t xml:space="preserve"> </w:t>
      </w:r>
    </w:p>
    <w:p w:rsidR="005C2CD2" w:rsidRDefault="005C2CD2" w:rsidP="005C2CD2">
      <w:r>
        <w:t xml:space="preserve">The City of Columbia's Investment Officer, in order to provide a safe temporary medium for investment of idle funds, shall have the authority to purchase and invest prudently as authorized in Appendix A and by TCA 6-56-106 or as it may be amended (Appendix B). </w:t>
      </w:r>
    </w:p>
    <w:p w:rsidR="005C2CD2" w:rsidRDefault="005C2CD2" w:rsidP="005C2CD2">
      <w:pPr>
        <w:spacing w:line="259" w:lineRule="auto"/>
      </w:pPr>
      <w:r>
        <w:t xml:space="preserve"> </w:t>
      </w:r>
    </w:p>
    <w:p w:rsidR="005C2CD2" w:rsidRDefault="005C2CD2" w:rsidP="005C2CD2">
      <w:pPr>
        <w:pStyle w:val="Heading2"/>
        <w:ind w:left="-5"/>
      </w:pPr>
      <w:r>
        <w:t>7.</w:t>
      </w:r>
      <w:r>
        <w:rPr>
          <w:rFonts w:ascii="Arial" w:eastAsia="Arial" w:hAnsi="Arial" w:cs="Arial"/>
        </w:rPr>
        <w:t xml:space="preserve"> </w:t>
      </w:r>
      <w:r>
        <w:t xml:space="preserve">COLLATERALIZATION </w:t>
      </w:r>
    </w:p>
    <w:p w:rsidR="005C2CD2" w:rsidRDefault="005C2CD2" w:rsidP="005C2CD2">
      <w:pPr>
        <w:spacing w:line="259" w:lineRule="auto"/>
      </w:pPr>
      <w:r>
        <w:t xml:space="preserve"> </w:t>
      </w:r>
    </w:p>
    <w:p w:rsidR="005C2CD2" w:rsidRDefault="005C2CD2" w:rsidP="005C2CD2">
      <w:r>
        <w:t xml:space="preserve">In accordance with State law T.C.A. 9-4-105 and the GFOA Recommended Practices on the </w:t>
      </w:r>
    </w:p>
    <w:p w:rsidR="005C2CD2" w:rsidRDefault="005C2CD2" w:rsidP="005C2CD2">
      <w:pPr>
        <w:spacing w:after="2" w:line="255" w:lineRule="auto"/>
      </w:pPr>
      <w:r>
        <w:lastRenderedPageBreak/>
        <w:t xml:space="preserve">Collateralization of Public Deposits, full collateralization will be required on all demand deposit accounts, including checking accounts and non-negotiable certificates of deposit, except when the institution issuing the certificate of deposit belongs to the Tennessee Bank Collateral Pool. </w:t>
      </w:r>
    </w:p>
    <w:p w:rsidR="005C2CD2" w:rsidRDefault="005C2CD2" w:rsidP="005C2CD2">
      <w:pPr>
        <w:spacing w:after="5" w:line="259" w:lineRule="auto"/>
      </w:pPr>
      <w:r>
        <w:t xml:space="preserve"> </w:t>
      </w:r>
    </w:p>
    <w:p w:rsidR="005C2CD2" w:rsidRDefault="005C2CD2" w:rsidP="005C2CD2">
      <w:pPr>
        <w:pStyle w:val="Heading2"/>
        <w:ind w:left="-5"/>
      </w:pPr>
      <w:r>
        <w:t>8.</w:t>
      </w:r>
      <w:r>
        <w:rPr>
          <w:rFonts w:ascii="Arial" w:eastAsia="Arial" w:hAnsi="Arial" w:cs="Arial"/>
        </w:rPr>
        <w:t xml:space="preserve"> </w:t>
      </w:r>
      <w:r>
        <w:t xml:space="preserve">REPORTING </w:t>
      </w:r>
    </w:p>
    <w:p w:rsidR="005C2CD2" w:rsidRDefault="005C2CD2" w:rsidP="005C2CD2">
      <w:pPr>
        <w:spacing w:line="259" w:lineRule="auto"/>
      </w:pPr>
      <w:r>
        <w:t xml:space="preserve"> </w:t>
      </w:r>
    </w:p>
    <w:p w:rsidR="005C2CD2" w:rsidRDefault="005C2CD2" w:rsidP="005C2CD2">
      <w:r>
        <w:t xml:space="preserve">The Investment Officer shall prepare an investment report not less than quarterly of the status of the current investments. The report will include the following: </w:t>
      </w:r>
    </w:p>
    <w:p w:rsidR="005C2CD2" w:rsidRDefault="005C2CD2" w:rsidP="005C2CD2">
      <w:pPr>
        <w:spacing w:line="259" w:lineRule="auto"/>
      </w:pPr>
      <w:r>
        <w:t xml:space="preserve"> </w:t>
      </w:r>
    </w:p>
    <w:p w:rsidR="005C2CD2" w:rsidRDefault="005C2CD2" w:rsidP="005C2CD2">
      <w:pPr>
        <w:numPr>
          <w:ilvl w:val="0"/>
          <w:numId w:val="42"/>
        </w:numPr>
        <w:spacing w:after="3" w:line="257" w:lineRule="auto"/>
        <w:ind w:hanging="360"/>
        <w:jc w:val="both"/>
      </w:pPr>
      <w:r>
        <w:t xml:space="preserve">Percent invested in each security type (CD, US Treasury, etc.);  </w:t>
      </w:r>
    </w:p>
    <w:p w:rsidR="005C2CD2" w:rsidRDefault="005C2CD2" w:rsidP="005C2CD2">
      <w:pPr>
        <w:numPr>
          <w:ilvl w:val="0"/>
          <w:numId w:val="42"/>
        </w:numPr>
        <w:spacing w:after="3" w:line="257" w:lineRule="auto"/>
        <w:ind w:hanging="360"/>
        <w:jc w:val="both"/>
      </w:pPr>
      <w:r>
        <w:t xml:space="preserve">Listing of investments by maturity date. </w:t>
      </w:r>
    </w:p>
    <w:p w:rsidR="005C2CD2" w:rsidRDefault="005C2CD2" w:rsidP="005C2CD2">
      <w:pPr>
        <w:spacing w:after="5" w:line="259" w:lineRule="auto"/>
        <w:ind w:left="360"/>
      </w:pPr>
      <w:r>
        <w:t xml:space="preserve"> </w:t>
      </w:r>
    </w:p>
    <w:p w:rsidR="005C2CD2" w:rsidRDefault="005C2CD2" w:rsidP="005C2CD2">
      <w:pPr>
        <w:pStyle w:val="Heading2"/>
        <w:ind w:left="-5"/>
      </w:pPr>
      <w:r>
        <w:t>9.</w:t>
      </w:r>
      <w:r>
        <w:rPr>
          <w:rFonts w:ascii="Arial" w:eastAsia="Arial" w:hAnsi="Arial" w:cs="Arial"/>
        </w:rPr>
        <w:t xml:space="preserve"> </w:t>
      </w:r>
      <w:r>
        <w:t xml:space="preserve">PORTFOLIO DIVERSIFICATION </w:t>
      </w:r>
    </w:p>
    <w:p w:rsidR="005C2CD2" w:rsidRDefault="005C2CD2" w:rsidP="005C2CD2">
      <w:pPr>
        <w:spacing w:line="259" w:lineRule="auto"/>
        <w:ind w:left="360"/>
      </w:pPr>
      <w:r>
        <w:rPr>
          <w:b/>
        </w:rPr>
        <w:t xml:space="preserve"> </w:t>
      </w:r>
    </w:p>
    <w:p w:rsidR="005C2CD2" w:rsidRDefault="005C2CD2" w:rsidP="005C2CD2">
      <w:r>
        <w:t xml:space="preserve">It is the policy of the City of Columbia to reduce overall risks while attaining average market rates of return by diversifying its investments. </w:t>
      </w:r>
    </w:p>
    <w:p w:rsidR="005C2CD2" w:rsidRDefault="005C2CD2" w:rsidP="005C2CD2">
      <w:pPr>
        <w:spacing w:line="259" w:lineRule="auto"/>
      </w:pPr>
      <w:r>
        <w:t xml:space="preserve"> </w:t>
      </w:r>
    </w:p>
    <w:p w:rsidR="005C2CD2" w:rsidRDefault="005C2CD2" w:rsidP="005C2CD2">
      <w:r>
        <w:t xml:space="preserve">The investments shall be diversified by: </w:t>
      </w:r>
    </w:p>
    <w:p w:rsidR="005C2CD2" w:rsidRDefault="005C2CD2" w:rsidP="005C2CD2">
      <w:pPr>
        <w:spacing w:line="259" w:lineRule="auto"/>
      </w:pPr>
      <w:r>
        <w:t xml:space="preserve"> </w:t>
      </w:r>
    </w:p>
    <w:p w:rsidR="005C2CD2" w:rsidRDefault="005C2CD2" w:rsidP="005C2CD2">
      <w:pPr>
        <w:numPr>
          <w:ilvl w:val="0"/>
          <w:numId w:val="43"/>
        </w:numPr>
        <w:spacing w:after="3" w:line="257" w:lineRule="auto"/>
        <w:ind w:hanging="360"/>
        <w:jc w:val="both"/>
      </w:pPr>
      <w:r>
        <w:t xml:space="preserve">Limiting investments to avoid over concentration in eligible securities from a specific issuer or business sector (excluding U.S. Treasury securities); </w:t>
      </w:r>
    </w:p>
    <w:p w:rsidR="005C2CD2" w:rsidRDefault="005C2CD2" w:rsidP="005C2CD2">
      <w:pPr>
        <w:numPr>
          <w:ilvl w:val="0"/>
          <w:numId w:val="43"/>
        </w:numPr>
        <w:spacing w:after="3" w:line="257" w:lineRule="auto"/>
        <w:ind w:hanging="360"/>
        <w:jc w:val="both"/>
      </w:pPr>
      <w:r>
        <w:t xml:space="preserve">Investing a portion of the portfolio in readily available funds such as the Tennessee Local Government Investment Pool (LGIP) or collateralized money market funds to ensure that appropriate liquidity is maintained in order to meet ongoing obligations. </w:t>
      </w:r>
    </w:p>
    <w:p w:rsidR="005C2CD2" w:rsidRDefault="005C2CD2" w:rsidP="005C2CD2">
      <w:pPr>
        <w:numPr>
          <w:ilvl w:val="0"/>
          <w:numId w:val="43"/>
        </w:numPr>
        <w:spacing w:after="3" w:line="257" w:lineRule="auto"/>
        <w:ind w:hanging="360"/>
        <w:jc w:val="both"/>
      </w:pPr>
      <w:r>
        <w:t xml:space="preserve">Portfolio maturities shall be staggered to avoid undue concentration of assets with similar maturity dates.  </w:t>
      </w:r>
    </w:p>
    <w:p w:rsidR="005C2CD2" w:rsidRDefault="005C2CD2" w:rsidP="005C2CD2">
      <w:pPr>
        <w:spacing w:after="6" w:line="259" w:lineRule="auto"/>
      </w:pPr>
      <w:r>
        <w:t xml:space="preserve"> </w:t>
      </w:r>
    </w:p>
    <w:p w:rsidR="005C2CD2" w:rsidRDefault="005C2CD2" w:rsidP="005C2CD2">
      <w:pPr>
        <w:pStyle w:val="Heading2"/>
        <w:ind w:left="-5"/>
      </w:pPr>
      <w:r>
        <w:t>10.</w:t>
      </w:r>
      <w:r>
        <w:rPr>
          <w:rFonts w:ascii="Arial" w:eastAsia="Arial" w:hAnsi="Arial" w:cs="Arial"/>
        </w:rPr>
        <w:t xml:space="preserve"> </w:t>
      </w:r>
      <w:r>
        <w:t xml:space="preserve">SAFEKEEPING AND CUSTODY  </w:t>
      </w:r>
    </w:p>
    <w:p w:rsidR="005C2CD2" w:rsidRDefault="005C2CD2" w:rsidP="005C2CD2">
      <w:pPr>
        <w:spacing w:line="259" w:lineRule="auto"/>
      </w:pPr>
      <w:r>
        <w:t xml:space="preserve"> </w:t>
      </w:r>
    </w:p>
    <w:p w:rsidR="005C2CD2" w:rsidRDefault="005C2CD2" w:rsidP="005C2CD2">
      <w:r>
        <w:t xml:space="preserve">The City Manager shall approve a system of internal controls, which shall be documented in writing. The controls shall be designed to prevent the loss of public funds arising from fraud, employee error, </w:t>
      </w:r>
      <w:proofErr w:type="gramStart"/>
      <w:r>
        <w:t>misrepresentation</w:t>
      </w:r>
      <w:proofErr w:type="gramEnd"/>
      <w:r>
        <w:t xml:space="preserve"> by third parties or unanticipated changes in financial markets. </w:t>
      </w:r>
    </w:p>
    <w:p w:rsidR="005C2CD2" w:rsidRDefault="005C2CD2" w:rsidP="005C2CD2">
      <w:pPr>
        <w:spacing w:after="5" w:line="259" w:lineRule="auto"/>
      </w:pPr>
      <w:r>
        <w:t xml:space="preserve"> </w:t>
      </w:r>
    </w:p>
    <w:p w:rsidR="005C2CD2" w:rsidRDefault="005C2CD2" w:rsidP="005C2CD2">
      <w:pPr>
        <w:spacing w:after="2" w:line="259" w:lineRule="auto"/>
        <w:ind w:left="-5"/>
      </w:pPr>
      <w:r>
        <w:rPr>
          <w:b/>
        </w:rPr>
        <w:t>11.</w:t>
      </w:r>
      <w:r>
        <w:rPr>
          <w:rFonts w:ascii="Arial" w:eastAsia="Arial" w:hAnsi="Arial" w:cs="Arial"/>
          <w:b/>
        </w:rPr>
        <w:t xml:space="preserve"> </w:t>
      </w:r>
      <w:r>
        <w:rPr>
          <w:b/>
        </w:rPr>
        <w:t xml:space="preserve">AMENDMENTS </w:t>
      </w:r>
    </w:p>
    <w:p w:rsidR="005C2CD2" w:rsidRDefault="005C2CD2" w:rsidP="005C2CD2">
      <w:pPr>
        <w:spacing w:line="259" w:lineRule="auto"/>
      </w:pPr>
      <w:r>
        <w:rPr>
          <w:b/>
        </w:rPr>
        <w:t xml:space="preserve"> </w:t>
      </w:r>
    </w:p>
    <w:p w:rsidR="005C2CD2" w:rsidRDefault="005C2CD2" w:rsidP="005C2CD2">
      <w:r>
        <w:t xml:space="preserve">This Investment Policy shall be reviewed at minimum every three years. </w:t>
      </w:r>
    </w:p>
    <w:p w:rsidR="005C2CD2" w:rsidRDefault="005C2CD2" w:rsidP="005C2CD2">
      <w:pPr>
        <w:spacing w:line="259" w:lineRule="auto"/>
      </w:pPr>
      <w:r>
        <w:t xml:space="preserve"> </w:t>
      </w:r>
    </w:p>
    <w:p w:rsidR="005C2CD2" w:rsidRDefault="005C2CD2" w:rsidP="00850C62">
      <w:pPr>
        <w:rPr>
          <w:b/>
          <w:sz w:val="22"/>
          <w:szCs w:val="22"/>
        </w:rPr>
      </w:pPr>
    </w:p>
    <w:p w:rsidR="005C2CD2" w:rsidRDefault="005C2CD2" w:rsidP="00850C62">
      <w:pPr>
        <w:rPr>
          <w:b/>
          <w:sz w:val="22"/>
          <w:szCs w:val="22"/>
        </w:rPr>
      </w:pPr>
    </w:p>
    <w:sectPr w:rsidR="005C2CD2" w:rsidSect="00226222">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AFD" w:rsidRDefault="00C15AFD">
      <w:r>
        <w:separator/>
      </w:r>
    </w:p>
  </w:endnote>
  <w:endnote w:type="continuationSeparator" w:id="0">
    <w:p w:rsidR="00C15AFD" w:rsidRDefault="00C1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DA6" w:rsidRDefault="00087A29">
    <w:pPr>
      <w:pStyle w:val="Footer"/>
      <w:framePr w:wrap="around" w:vAnchor="text" w:hAnchor="margin" w:xAlign="center" w:y="1"/>
      <w:rPr>
        <w:rStyle w:val="PageNumber"/>
      </w:rPr>
    </w:pPr>
    <w:r>
      <w:rPr>
        <w:rStyle w:val="PageNumber"/>
      </w:rPr>
      <w:fldChar w:fldCharType="begin"/>
    </w:r>
    <w:r w:rsidR="00314DA6">
      <w:rPr>
        <w:rStyle w:val="PageNumber"/>
      </w:rPr>
      <w:instrText xml:space="preserve">PAGE  </w:instrText>
    </w:r>
    <w:r>
      <w:rPr>
        <w:rStyle w:val="PageNumber"/>
      </w:rPr>
      <w:fldChar w:fldCharType="end"/>
    </w:r>
  </w:p>
  <w:p w:rsidR="00314DA6" w:rsidRDefault="00314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DA6" w:rsidRDefault="00087A29">
    <w:pPr>
      <w:pStyle w:val="Footer"/>
      <w:framePr w:wrap="around" w:vAnchor="text" w:hAnchor="margin" w:xAlign="center" w:y="1"/>
      <w:rPr>
        <w:rStyle w:val="PageNumber"/>
      </w:rPr>
    </w:pPr>
    <w:r>
      <w:rPr>
        <w:rStyle w:val="PageNumber"/>
      </w:rPr>
      <w:fldChar w:fldCharType="begin"/>
    </w:r>
    <w:r w:rsidR="00314DA6">
      <w:rPr>
        <w:rStyle w:val="PageNumber"/>
      </w:rPr>
      <w:instrText xml:space="preserve">PAGE  </w:instrText>
    </w:r>
    <w:r>
      <w:rPr>
        <w:rStyle w:val="PageNumber"/>
      </w:rPr>
      <w:fldChar w:fldCharType="separate"/>
    </w:r>
    <w:r w:rsidR="00DA630D">
      <w:rPr>
        <w:rStyle w:val="PageNumber"/>
        <w:noProof/>
      </w:rPr>
      <w:t>4</w:t>
    </w:r>
    <w:r>
      <w:rPr>
        <w:rStyle w:val="PageNumber"/>
      </w:rPr>
      <w:fldChar w:fldCharType="end"/>
    </w:r>
  </w:p>
  <w:p w:rsidR="00314DA6" w:rsidRDefault="00314D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AFD" w:rsidRDefault="00C15AFD">
      <w:r>
        <w:separator/>
      </w:r>
    </w:p>
  </w:footnote>
  <w:footnote w:type="continuationSeparator" w:id="0">
    <w:p w:rsidR="00C15AFD" w:rsidRDefault="00C15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E1A"/>
    <w:multiLevelType w:val="hybridMultilevel"/>
    <w:tmpl w:val="1F2C5B82"/>
    <w:lvl w:ilvl="0" w:tplc="8674AF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F3CCD"/>
    <w:multiLevelType w:val="hybridMultilevel"/>
    <w:tmpl w:val="BE4E5922"/>
    <w:lvl w:ilvl="0" w:tplc="E498611C">
      <w:start w:val="1"/>
      <w:numFmt w:val="decimal"/>
      <w:lvlText w:val="%1."/>
      <w:lvlJc w:val="left"/>
      <w:pPr>
        <w:tabs>
          <w:tab w:val="num" w:pos="417"/>
        </w:tabs>
        <w:ind w:left="417" w:hanging="360"/>
      </w:pPr>
      <w:rPr>
        <w:rFonts w:hint="default"/>
      </w:rPr>
    </w:lvl>
    <w:lvl w:ilvl="1" w:tplc="CAA23214">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 w15:restartNumberingAfterBreak="0">
    <w:nsid w:val="1B19572D"/>
    <w:multiLevelType w:val="multilevel"/>
    <w:tmpl w:val="205CCA2E"/>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2580"/>
        </w:tabs>
        <w:ind w:left="2580" w:hanging="4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3" w15:restartNumberingAfterBreak="0">
    <w:nsid w:val="1B4F5082"/>
    <w:multiLevelType w:val="singleLevel"/>
    <w:tmpl w:val="8E082D06"/>
    <w:lvl w:ilvl="0">
      <w:start w:val="5"/>
      <w:numFmt w:val="decimal"/>
      <w:lvlText w:val="%1) "/>
      <w:legacy w:legacy="1" w:legacySpace="0" w:legacyIndent="360"/>
      <w:lvlJc w:val="left"/>
      <w:pPr>
        <w:ind w:left="630" w:hanging="360"/>
      </w:pPr>
      <w:rPr>
        <w:rFonts w:ascii="Times New Roman" w:hAnsi="Times New Roman" w:hint="default"/>
        <w:b w:val="0"/>
        <w:i w:val="0"/>
        <w:sz w:val="24"/>
        <w:u w:val="none"/>
      </w:rPr>
    </w:lvl>
  </w:abstractNum>
  <w:abstractNum w:abstractNumId="4" w15:restartNumberingAfterBreak="0">
    <w:nsid w:val="226E194D"/>
    <w:multiLevelType w:val="hybridMultilevel"/>
    <w:tmpl w:val="CEF62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2035AD"/>
    <w:multiLevelType w:val="hybridMultilevel"/>
    <w:tmpl w:val="C088CC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60140C"/>
    <w:multiLevelType w:val="singleLevel"/>
    <w:tmpl w:val="8E082D0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7" w15:restartNumberingAfterBreak="0">
    <w:nsid w:val="2D4F710E"/>
    <w:multiLevelType w:val="hybridMultilevel"/>
    <w:tmpl w:val="CD8874FC"/>
    <w:lvl w:ilvl="0" w:tplc="67B29472">
      <w:start w:val="1"/>
      <w:numFmt w:val="lowerRoman"/>
      <w:lvlText w:val="%1."/>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7882EA">
      <w:start w:val="1"/>
      <w:numFmt w:val="lowerLetter"/>
      <w:lvlText w:val="%2"/>
      <w:lvlJc w:val="left"/>
      <w:pPr>
        <w:ind w:left="1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4AAF56">
      <w:start w:val="1"/>
      <w:numFmt w:val="lowerRoman"/>
      <w:lvlText w:val="%3"/>
      <w:lvlJc w:val="left"/>
      <w:pPr>
        <w:ind w:left="2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B2F160">
      <w:start w:val="1"/>
      <w:numFmt w:val="decimal"/>
      <w:lvlText w:val="%4"/>
      <w:lvlJc w:val="left"/>
      <w:pPr>
        <w:ind w:left="3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52543E">
      <w:start w:val="1"/>
      <w:numFmt w:val="lowerLetter"/>
      <w:lvlText w:val="%5"/>
      <w:lvlJc w:val="left"/>
      <w:pPr>
        <w:ind w:left="3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4E0502">
      <w:start w:val="1"/>
      <w:numFmt w:val="lowerRoman"/>
      <w:lvlText w:val="%6"/>
      <w:lvlJc w:val="left"/>
      <w:pPr>
        <w:ind w:left="4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9C8E6A">
      <w:start w:val="1"/>
      <w:numFmt w:val="decimal"/>
      <w:lvlText w:val="%7"/>
      <w:lvlJc w:val="left"/>
      <w:pPr>
        <w:ind w:left="5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6644E6">
      <w:start w:val="1"/>
      <w:numFmt w:val="lowerLetter"/>
      <w:lvlText w:val="%8"/>
      <w:lvlJc w:val="left"/>
      <w:pPr>
        <w:ind w:left="5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2035DA">
      <w:start w:val="1"/>
      <w:numFmt w:val="lowerRoman"/>
      <w:lvlText w:val="%9"/>
      <w:lvlJc w:val="left"/>
      <w:pPr>
        <w:ind w:left="6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5428B0"/>
    <w:multiLevelType w:val="hybridMultilevel"/>
    <w:tmpl w:val="320444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FF17DDB"/>
    <w:multiLevelType w:val="hybridMultilevel"/>
    <w:tmpl w:val="247C1ED6"/>
    <w:lvl w:ilvl="0" w:tplc="436A87AE">
      <w:start w:val="1"/>
      <w:numFmt w:val="upperLetter"/>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CC865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3E320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880DC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44692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0A27E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72DD6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86628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9A0CD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074704"/>
    <w:multiLevelType w:val="hybridMultilevel"/>
    <w:tmpl w:val="6B5C0482"/>
    <w:lvl w:ilvl="0" w:tplc="297E480C">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004CA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6C23C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C836E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E2F55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C494D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A41AD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921458">
      <w:start w:val="1"/>
      <w:numFmt w:val="bullet"/>
      <w:lvlText w:val="o"/>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C430CC">
      <w:start w:val="1"/>
      <w:numFmt w:val="bullet"/>
      <w:lvlText w:val="▪"/>
      <w:lvlJc w:val="left"/>
      <w:pPr>
        <w:ind w:left="7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7B44171"/>
    <w:multiLevelType w:val="hybridMultilevel"/>
    <w:tmpl w:val="F1C48192"/>
    <w:lvl w:ilvl="0" w:tplc="4B906A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9FC2B76"/>
    <w:multiLevelType w:val="singleLevel"/>
    <w:tmpl w:val="8E082D0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3" w15:restartNumberingAfterBreak="0">
    <w:nsid w:val="3FD04746"/>
    <w:multiLevelType w:val="multilevel"/>
    <w:tmpl w:val="11401D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4" w15:restartNumberingAfterBreak="0">
    <w:nsid w:val="44A652D7"/>
    <w:multiLevelType w:val="singleLevel"/>
    <w:tmpl w:val="8E082D06"/>
    <w:lvl w:ilvl="0">
      <w:start w:val="13"/>
      <w:numFmt w:val="decimal"/>
      <w:lvlText w:val="%1) "/>
      <w:legacy w:legacy="1" w:legacySpace="0" w:legacyIndent="360"/>
      <w:lvlJc w:val="left"/>
      <w:pPr>
        <w:ind w:left="660" w:hanging="360"/>
      </w:pPr>
      <w:rPr>
        <w:rFonts w:ascii="Times New Roman" w:hAnsi="Times New Roman" w:hint="default"/>
        <w:b w:val="0"/>
        <w:i w:val="0"/>
        <w:sz w:val="24"/>
        <w:u w:val="none"/>
      </w:rPr>
    </w:lvl>
  </w:abstractNum>
  <w:abstractNum w:abstractNumId="15" w15:restartNumberingAfterBreak="0">
    <w:nsid w:val="46480368"/>
    <w:multiLevelType w:val="hybridMultilevel"/>
    <w:tmpl w:val="427635AC"/>
    <w:lvl w:ilvl="0" w:tplc="9C5012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86E6D5D"/>
    <w:multiLevelType w:val="hybridMultilevel"/>
    <w:tmpl w:val="FF80738A"/>
    <w:lvl w:ilvl="0" w:tplc="7C240F1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0162BE"/>
    <w:multiLevelType w:val="hybridMultilevel"/>
    <w:tmpl w:val="9EB29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C0249"/>
    <w:multiLevelType w:val="hybridMultilevel"/>
    <w:tmpl w:val="BB703A3C"/>
    <w:lvl w:ilvl="0" w:tplc="78EC60D2">
      <w:start w:val="1"/>
      <w:numFmt w:val="upperLetter"/>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18552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0A867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C6167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4C3FD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FE333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7E0E5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F67BC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F008E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8EF1A57"/>
    <w:multiLevelType w:val="hybridMultilevel"/>
    <w:tmpl w:val="4710B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2F7B08"/>
    <w:multiLevelType w:val="hybridMultilevel"/>
    <w:tmpl w:val="52B087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451AEB"/>
    <w:multiLevelType w:val="hybridMultilevel"/>
    <w:tmpl w:val="C0424FCC"/>
    <w:lvl w:ilvl="0" w:tplc="28747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280D0A"/>
    <w:multiLevelType w:val="hybridMultilevel"/>
    <w:tmpl w:val="459CCE94"/>
    <w:lvl w:ilvl="0" w:tplc="D6C612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4C368A0"/>
    <w:multiLevelType w:val="hybridMultilevel"/>
    <w:tmpl w:val="2132C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013F29"/>
    <w:multiLevelType w:val="singleLevel"/>
    <w:tmpl w:val="B29C7FE0"/>
    <w:lvl w:ilvl="0">
      <w:start w:val="1"/>
      <w:numFmt w:val="decimal"/>
      <w:lvlText w:val="%1) "/>
      <w:legacy w:legacy="1" w:legacySpace="0" w:legacyIndent="360"/>
      <w:lvlJc w:val="left"/>
      <w:pPr>
        <w:ind w:left="660" w:hanging="360"/>
      </w:pPr>
      <w:rPr>
        <w:rFonts w:ascii="Times New Roman" w:hAnsi="Times New Roman" w:hint="default"/>
        <w:b w:val="0"/>
        <w:i w:val="0"/>
        <w:sz w:val="24"/>
        <w:u w:val="none"/>
      </w:rPr>
    </w:lvl>
  </w:abstractNum>
  <w:abstractNum w:abstractNumId="25" w15:restartNumberingAfterBreak="0">
    <w:nsid w:val="697B6ABD"/>
    <w:multiLevelType w:val="hybridMultilevel"/>
    <w:tmpl w:val="3AF2BF04"/>
    <w:lvl w:ilvl="0" w:tplc="B3764EFA">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6EC52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78AD0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8AD86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94BC7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0CFA5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AC08D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7EDCF0">
      <w:start w:val="1"/>
      <w:numFmt w:val="bullet"/>
      <w:lvlText w:val="o"/>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542E3E">
      <w:start w:val="1"/>
      <w:numFmt w:val="bullet"/>
      <w:lvlText w:val="▪"/>
      <w:lvlJc w:val="left"/>
      <w:pPr>
        <w:ind w:left="7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A5E637A"/>
    <w:multiLevelType w:val="hybridMultilevel"/>
    <w:tmpl w:val="065EAF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F8D5306"/>
    <w:multiLevelType w:val="hybridMultilevel"/>
    <w:tmpl w:val="D4BE12AE"/>
    <w:lvl w:ilvl="0" w:tplc="95D0E0A2">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742"/>
        </w:tabs>
        <w:ind w:left="1742" w:hanging="360"/>
      </w:pPr>
      <w:rPr>
        <w:rFonts w:ascii="Courier New" w:hAnsi="Courier New" w:cs="Courier New" w:hint="default"/>
      </w:rPr>
    </w:lvl>
    <w:lvl w:ilvl="2" w:tplc="04090005" w:tentative="1">
      <w:start w:val="1"/>
      <w:numFmt w:val="bullet"/>
      <w:lvlText w:val=""/>
      <w:lvlJc w:val="left"/>
      <w:pPr>
        <w:tabs>
          <w:tab w:val="num" w:pos="2462"/>
        </w:tabs>
        <w:ind w:left="2462" w:hanging="360"/>
      </w:pPr>
      <w:rPr>
        <w:rFonts w:ascii="Wingdings" w:hAnsi="Wingdings" w:hint="default"/>
      </w:rPr>
    </w:lvl>
    <w:lvl w:ilvl="3" w:tplc="04090001" w:tentative="1">
      <w:start w:val="1"/>
      <w:numFmt w:val="bullet"/>
      <w:lvlText w:val=""/>
      <w:lvlJc w:val="left"/>
      <w:pPr>
        <w:tabs>
          <w:tab w:val="num" w:pos="3182"/>
        </w:tabs>
        <w:ind w:left="3182" w:hanging="360"/>
      </w:pPr>
      <w:rPr>
        <w:rFonts w:ascii="Symbol" w:hAnsi="Symbol" w:hint="default"/>
      </w:rPr>
    </w:lvl>
    <w:lvl w:ilvl="4" w:tplc="04090003" w:tentative="1">
      <w:start w:val="1"/>
      <w:numFmt w:val="bullet"/>
      <w:lvlText w:val="o"/>
      <w:lvlJc w:val="left"/>
      <w:pPr>
        <w:tabs>
          <w:tab w:val="num" w:pos="3902"/>
        </w:tabs>
        <w:ind w:left="3902" w:hanging="360"/>
      </w:pPr>
      <w:rPr>
        <w:rFonts w:ascii="Courier New" w:hAnsi="Courier New" w:cs="Courier New" w:hint="default"/>
      </w:rPr>
    </w:lvl>
    <w:lvl w:ilvl="5" w:tplc="04090005" w:tentative="1">
      <w:start w:val="1"/>
      <w:numFmt w:val="bullet"/>
      <w:lvlText w:val=""/>
      <w:lvlJc w:val="left"/>
      <w:pPr>
        <w:tabs>
          <w:tab w:val="num" w:pos="4622"/>
        </w:tabs>
        <w:ind w:left="4622" w:hanging="360"/>
      </w:pPr>
      <w:rPr>
        <w:rFonts w:ascii="Wingdings" w:hAnsi="Wingdings" w:hint="default"/>
      </w:rPr>
    </w:lvl>
    <w:lvl w:ilvl="6" w:tplc="04090001" w:tentative="1">
      <w:start w:val="1"/>
      <w:numFmt w:val="bullet"/>
      <w:lvlText w:val=""/>
      <w:lvlJc w:val="left"/>
      <w:pPr>
        <w:tabs>
          <w:tab w:val="num" w:pos="5342"/>
        </w:tabs>
        <w:ind w:left="5342" w:hanging="360"/>
      </w:pPr>
      <w:rPr>
        <w:rFonts w:ascii="Symbol" w:hAnsi="Symbol" w:hint="default"/>
      </w:rPr>
    </w:lvl>
    <w:lvl w:ilvl="7" w:tplc="04090003" w:tentative="1">
      <w:start w:val="1"/>
      <w:numFmt w:val="bullet"/>
      <w:lvlText w:val="o"/>
      <w:lvlJc w:val="left"/>
      <w:pPr>
        <w:tabs>
          <w:tab w:val="num" w:pos="6062"/>
        </w:tabs>
        <w:ind w:left="6062" w:hanging="360"/>
      </w:pPr>
      <w:rPr>
        <w:rFonts w:ascii="Courier New" w:hAnsi="Courier New" w:cs="Courier New" w:hint="default"/>
      </w:rPr>
    </w:lvl>
    <w:lvl w:ilvl="8" w:tplc="04090005" w:tentative="1">
      <w:start w:val="1"/>
      <w:numFmt w:val="bullet"/>
      <w:lvlText w:val=""/>
      <w:lvlJc w:val="left"/>
      <w:pPr>
        <w:tabs>
          <w:tab w:val="num" w:pos="6782"/>
        </w:tabs>
        <w:ind w:left="6782" w:hanging="360"/>
      </w:pPr>
      <w:rPr>
        <w:rFonts w:ascii="Wingdings" w:hAnsi="Wingdings" w:hint="default"/>
      </w:rPr>
    </w:lvl>
  </w:abstractNum>
  <w:abstractNum w:abstractNumId="28" w15:restartNumberingAfterBreak="0">
    <w:nsid w:val="705252E6"/>
    <w:multiLevelType w:val="hybridMultilevel"/>
    <w:tmpl w:val="251C1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C1F8D"/>
    <w:multiLevelType w:val="hybridMultilevel"/>
    <w:tmpl w:val="28243FE2"/>
    <w:lvl w:ilvl="0" w:tplc="32205A2E">
      <w:start w:val="1"/>
      <w:numFmt w:val="upperLetter"/>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E015C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90001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D8C28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6C5F5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84573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7CB77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F8E4F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A6D71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4970A44"/>
    <w:multiLevelType w:val="hybridMultilevel"/>
    <w:tmpl w:val="DCFA23D6"/>
    <w:lvl w:ilvl="0" w:tplc="06843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6061F7F"/>
    <w:multiLevelType w:val="hybridMultilevel"/>
    <w:tmpl w:val="E3E08AD0"/>
    <w:lvl w:ilvl="0" w:tplc="B068016A">
      <w:start w:val="2"/>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EC6735"/>
    <w:multiLevelType w:val="hybridMultilevel"/>
    <w:tmpl w:val="504AAAA0"/>
    <w:lvl w:ilvl="0" w:tplc="30CA44FA">
      <w:start w:val="1"/>
      <w:numFmt w:val="decimal"/>
      <w:lvlText w:val="%1)"/>
      <w:lvlJc w:val="left"/>
      <w:pPr>
        <w:tabs>
          <w:tab w:val="num" w:pos="1080"/>
        </w:tabs>
        <w:ind w:left="1080" w:hanging="360"/>
      </w:pPr>
      <w:rPr>
        <w:rFonts w:hint="default"/>
      </w:rPr>
    </w:lvl>
    <w:lvl w:ilvl="1" w:tplc="784EE2F6" w:tentative="1">
      <w:start w:val="1"/>
      <w:numFmt w:val="lowerLetter"/>
      <w:lvlText w:val="%2."/>
      <w:lvlJc w:val="left"/>
      <w:pPr>
        <w:tabs>
          <w:tab w:val="num" w:pos="1800"/>
        </w:tabs>
        <w:ind w:left="1800" w:hanging="360"/>
      </w:pPr>
    </w:lvl>
    <w:lvl w:ilvl="2" w:tplc="A61AA46A" w:tentative="1">
      <w:start w:val="1"/>
      <w:numFmt w:val="lowerRoman"/>
      <w:lvlText w:val="%3."/>
      <w:lvlJc w:val="right"/>
      <w:pPr>
        <w:tabs>
          <w:tab w:val="num" w:pos="2520"/>
        </w:tabs>
        <w:ind w:left="2520" w:hanging="180"/>
      </w:pPr>
    </w:lvl>
    <w:lvl w:ilvl="3" w:tplc="FEAEFA16" w:tentative="1">
      <w:start w:val="1"/>
      <w:numFmt w:val="decimal"/>
      <w:lvlText w:val="%4."/>
      <w:lvlJc w:val="left"/>
      <w:pPr>
        <w:tabs>
          <w:tab w:val="num" w:pos="3240"/>
        </w:tabs>
        <w:ind w:left="3240" w:hanging="360"/>
      </w:pPr>
    </w:lvl>
    <w:lvl w:ilvl="4" w:tplc="B4604B2A" w:tentative="1">
      <w:start w:val="1"/>
      <w:numFmt w:val="lowerLetter"/>
      <w:lvlText w:val="%5."/>
      <w:lvlJc w:val="left"/>
      <w:pPr>
        <w:tabs>
          <w:tab w:val="num" w:pos="3960"/>
        </w:tabs>
        <w:ind w:left="3960" w:hanging="360"/>
      </w:pPr>
    </w:lvl>
    <w:lvl w:ilvl="5" w:tplc="08506694" w:tentative="1">
      <w:start w:val="1"/>
      <w:numFmt w:val="lowerRoman"/>
      <w:lvlText w:val="%6."/>
      <w:lvlJc w:val="right"/>
      <w:pPr>
        <w:tabs>
          <w:tab w:val="num" w:pos="4680"/>
        </w:tabs>
        <w:ind w:left="4680" w:hanging="180"/>
      </w:pPr>
    </w:lvl>
    <w:lvl w:ilvl="6" w:tplc="B4F2568A" w:tentative="1">
      <w:start w:val="1"/>
      <w:numFmt w:val="decimal"/>
      <w:lvlText w:val="%7."/>
      <w:lvlJc w:val="left"/>
      <w:pPr>
        <w:tabs>
          <w:tab w:val="num" w:pos="5400"/>
        </w:tabs>
        <w:ind w:left="5400" w:hanging="360"/>
      </w:pPr>
    </w:lvl>
    <w:lvl w:ilvl="7" w:tplc="52A03B02" w:tentative="1">
      <w:start w:val="1"/>
      <w:numFmt w:val="lowerLetter"/>
      <w:lvlText w:val="%8."/>
      <w:lvlJc w:val="left"/>
      <w:pPr>
        <w:tabs>
          <w:tab w:val="num" w:pos="6120"/>
        </w:tabs>
        <w:ind w:left="6120" w:hanging="360"/>
      </w:pPr>
    </w:lvl>
    <w:lvl w:ilvl="8" w:tplc="4F14137A" w:tentative="1">
      <w:start w:val="1"/>
      <w:numFmt w:val="lowerRoman"/>
      <w:lvlText w:val="%9."/>
      <w:lvlJc w:val="right"/>
      <w:pPr>
        <w:tabs>
          <w:tab w:val="num" w:pos="6840"/>
        </w:tabs>
        <w:ind w:left="6840" w:hanging="180"/>
      </w:pPr>
    </w:lvl>
  </w:abstractNum>
  <w:abstractNum w:abstractNumId="33" w15:restartNumberingAfterBreak="0">
    <w:nsid w:val="7A781F85"/>
    <w:multiLevelType w:val="hybridMultilevel"/>
    <w:tmpl w:val="439C45F8"/>
    <w:lvl w:ilvl="0" w:tplc="885A7836">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4" w15:restartNumberingAfterBreak="0">
    <w:nsid w:val="7E461BE9"/>
    <w:multiLevelType w:val="hybridMultilevel"/>
    <w:tmpl w:val="C57E2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B65AF3"/>
    <w:multiLevelType w:val="hybridMultilevel"/>
    <w:tmpl w:val="DB1A0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4"/>
    <w:lvlOverride w:ilvl="0">
      <w:lvl w:ilvl="0">
        <w:start w:val="4"/>
        <w:numFmt w:val="decimal"/>
        <w:lvlText w:val="%1) "/>
        <w:legacy w:legacy="1" w:legacySpace="0" w:legacyIndent="360"/>
        <w:lvlJc w:val="left"/>
        <w:pPr>
          <w:ind w:left="660" w:hanging="360"/>
        </w:pPr>
        <w:rPr>
          <w:rFonts w:ascii="Times New Roman" w:hAnsi="Times New Roman" w:hint="default"/>
          <w:b w:val="0"/>
          <w:i w:val="0"/>
          <w:sz w:val="24"/>
          <w:u w:val="none"/>
        </w:rPr>
      </w:lvl>
    </w:lvlOverride>
  </w:num>
  <w:num w:numId="3">
    <w:abstractNumId w:val="3"/>
  </w:num>
  <w:num w:numId="4">
    <w:abstractNumId w:val="3"/>
    <w:lvlOverride w:ilvl="0">
      <w:lvl w:ilvl="0">
        <w:start w:val="1"/>
        <w:numFmt w:val="decimal"/>
        <w:lvlText w:val="%1) "/>
        <w:legacy w:legacy="1" w:legacySpace="0" w:legacyIndent="360"/>
        <w:lvlJc w:val="left"/>
        <w:pPr>
          <w:ind w:left="660" w:hanging="360"/>
        </w:pPr>
        <w:rPr>
          <w:rFonts w:ascii="Times New Roman" w:hAnsi="Times New Roman" w:hint="default"/>
          <w:b w:val="0"/>
          <w:i w:val="0"/>
          <w:sz w:val="24"/>
          <w:u w:val="none"/>
        </w:rPr>
      </w:lvl>
    </w:lvlOverride>
  </w:num>
  <w:num w:numId="5">
    <w:abstractNumId w:val="3"/>
    <w:lvlOverride w:ilvl="0">
      <w:lvl w:ilvl="0">
        <w:start w:val="13"/>
        <w:numFmt w:val="decimal"/>
        <w:lvlText w:val="%1) "/>
        <w:legacy w:legacy="1" w:legacySpace="0" w:legacyIndent="360"/>
        <w:lvlJc w:val="left"/>
        <w:pPr>
          <w:ind w:left="662" w:hanging="360"/>
        </w:pPr>
        <w:rPr>
          <w:rFonts w:ascii="Times New Roman" w:hAnsi="Times New Roman" w:hint="default"/>
          <w:b w:val="0"/>
          <w:i w:val="0"/>
          <w:sz w:val="24"/>
          <w:u w:val="none"/>
        </w:rPr>
      </w:lvl>
    </w:lvlOverride>
  </w:num>
  <w:num w:numId="6">
    <w:abstractNumId w:val="14"/>
  </w:num>
  <w:num w:numId="7">
    <w:abstractNumId w:val="14"/>
    <w:lvlOverride w:ilvl="0">
      <w:lvl w:ilvl="0">
        <w:start w:val="15"/>
        <w:numFmt w:val="decimal"/>
        <w:lvlText w:val="%1) "/>
        <w:legacy w:legacy="1" w:legacySpace="0" w:legacyIndent="360"/>
        <w:lvlJc w:val="left"/>
        <w:pPr>
          <w:ind w:left="660" w:hanging="360"/>
        </w:pPr>
        <w:rPr>
          <w:rFonts w:ascii="Times New Roman" w:hAnsi="Times New Roman" w:hint="default"/>
          <w:b w:val="0"/>
          <w:i w:val="0"/>
          <w:sz w:val="24"/>
          <w:u w:val="none"/>
        </w:rPr>
      </w:lvl>
    </w:lvlOverride>
  </w:num>
  <w:num w:numId="8">
    <w:abstractNumId w:val="14"/>
    <w:lvlOverride w:ilvl="0">
      <w:lvl w:ilvl="0">
        <w:start w:val="1"/>
        <w:numFmt w:val="decimal"/>
        <w:lvlText w:val="%1) "/>
        <w:legacy w:legacy="1" w:legacySpace="0" w:legacyIndent="360"/>
        <w:lvlJc w:val="left"/>
        <w:pPr>
          <w:ind w:left="662" w:hanging="360"/>
        </w:pPr>
        <w:rPr>
          <w:rFonts w:ascii="Times New Roman" w:hAnsi="Times New Roman" w:hint="default"/>
          <w:b w:val="0"/>
          <w:i w:val="0"/>
          <w:sz w:val="24"/>
          <w:u w:val="none"/>
        </w:rPr>
      </w:lvl>
    </w:lvlOverride>
  </w:num>
  <w:num w:numId="9">
    <w:abstractNumId w:val="12"/>
  </w:num>
  <w:num w:numId="10">
    <w:abstractNumId w:val="12"/>
    <w:lvlOverride w:ilvl="0">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11">
    <w:abstractNumId w:val="12"/>
    <w:lvlOverride w:ilvl="0">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12">
    <w:abstractNumId w:val="6"/>
  </w:num>
  <w:num w:numId="13">
    <w:abstractNumId w:val="13"/>
  </w:num>
  <w:num w:numId="14">
    <w:abstractNumId w:val="2"/>
  </w:num>
  <w:num w:numId="15">
    <w:abstractNumId w:val="32"/>
  </w:num>
  <w:num w:numId="16">
    <w:abstractNumId w:val="27"/>
  </w:num>
  <w:num w:numId="17">
    <w:abstractNumId w:val="1"/>
  </w:num>
  <w:num w:numId="18">
    <w:abstractNumId w:val="15"/>
  </w:num>
  <w:num w:numId="19">
    <w:abstractNumId w:val="23"/>
  </w:num>
  <w:num w:numId="20">
    <w:abstractNumId w:val="34"/>
  </w:num>
  <w:num w:numId="21">
    <w:abstractNumId w:val="26"/>
  </w:num>
  <w:num w:numId="22">
    <w:abstractNumId w:val="21"/>
  </w:num>
  <w:num w:numId="23">
    <w:abstractNumId w:val="17"/>
  </w:num>
  <w:num w:numId="24">
    <w:abstractNumId w:val="28"/>
  </w:num>
  <w:num w:numId="25">
    <w:abstractNumId w:val="33"/>
  </w:num>
  <w:num w:numId="26">
    <w:abstractNumId w:val="30"/>
  </w:num>
  <w:num w:numId="27">
    <w:abstractNumId w:val="20"/>
  </w:num>
  <w:num w:numId="28">
    <w:abstractNumId w:val="16"/>
  </w:num>
  <w:num w:numId="29">
    <w:abstractNumId w:val="11"/>
  </w:num>
  <w:num w:numId="30">
    <w:abstractNumId w:val="5"/>
  </w:num>
  <w:num w:numId="31">
    <w:abstractNumId w:val="8"/>
  </w:num>
  <w:num w:numId="32">
    <w:abstractNumId w:val="31"/>
  </w:num>
  <w:num w:numId="33">
    <w:abstractNumId w:val="0"/>
  </w:num>
  <w:num w:numId="34">
    <w:abstractNumId w:val="19"/>
  </w:num>
  <w:num w:numId="35">
    <w:abstractNumId w:val="4"/>
  </w:num>
  <w:num w:numId="36">
    <w:abstractNumId w:val="35"/>
  </w:num>
  <w:num w:numId="37">
    <w:abstractNumId w:val="22"/>
  </w:num>
  <w:num w:numId="38">
    <w:abstractNumId w:val="25"/>
  </w:num>
  <w:num w:numId="39">
    <w:abstractNumId w:val="10"/>
  </w:num>
  <w:num w:numId="40">
    <w:abstractNumId w:val="7"/>
  </w:num>
  <w:num w:numId="41">
    <w:abstractNumId w:val="9"/>
  </w:num>
  <w:num w:numId="42">
    <w:abstractNumId w:val="18"/>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6A7"/>
    <w:rsid w:val="00002840"/>
    <w:rsid w:val="000158B6"/>
    <w:rsid w:val="00034366"/>
    <w:rsid w:val="00040ABE"/>
    <w:rsid w:val="00043DF2"/>
    <w:rsid w:val="00045061"/>
    <w:rsid w:val="00060BBC"/>
    <w:rsid w:val="00072C44"/>
    <w:rsid w:val="00072E60"/>
    <w:rsid w:val="00074E30"/>
    <w:rsid w:val="00085728"/>
    <w:rsid w:val="00087A29"/>
    <w:rsid w:val="00093D0E"/>
    <w:rsid w:val="00095507"/>
    <w:rsid w:val="000A5B94"/>
    <w:rsid w:val="000B388C"/>
    <w:rsid w:val="000C1A30"/>
    <w:rsid w:val="000F66A7"/>
    <w:rsid w:val="001122B9"/>
    <w:rsid w:val="00121118"/>
    <w:rsid w:val="00122834"/>
    <w:rsid w:val="00137207"/>
    <w:rsid w:val="00174A04"/>
    <w:rsid w:val="00183D7B"/>
    <w:rsid w:val="001919DE"/>
    <w:rsid w:val="001A2C7F"/>
    <w:rsid w:val="001B6516"/>
    <w:rsid w:val="001D2297"/>
    <w:rsid w:val="00202724"/>
    <w:rsid w:val="00220D87"/>
    <w:rsid w:val="00226222"/>
    <w:rsid w:val="00246329"/>
    <w:rsid w:val="002472D6"/>
    <w:rsid w:val="00270250"/>
    <w:rsid w:val="00285382"/>
    <w:rsid w:val="00285ECF"/>
    <w:rsid w:val="002955D2"/>
    <w:rsid w:val="002A3499"/>
    <w:rsid w:val="002B200C"/>
    <w:rsid w:val="002D3322"/>
    <w:rsid w:val="002D4B82"/>
    <w:rsid w:val="00300845"/>
    <w:rsid w:val="00314DA6"/>
    <w:rsid w:val="00315368"/>
    <w:rsid w:val="00326A21"/>
    <w:rsid w:val="0032738A"/>
    <w:rsid w:val="00336FD8"/>
    <w:rsid w:val="0034143B"/>
    <w:rsid w:val="00344D6E"/>
    <w:rsid w:val="0036447E"/>
    <w:rsid w:val="003A53EB"/>
    <w:rsid w:val="003D4490"/>
    <w:rsid w:val="003D491F"/>
    <w:rsid w:val="00400BF5"/>
    <w:rsid w:val="004151D4"/>
    <w:rsid w:val="00445489"/>
    <w:rsid w:val="00454638"/>
    <w:rsid w:val="0046035A"/>
    <w:rsid w:val="004647C6"/>
    <w:rsid w:val="00472DD8"/>
    <w:rsid w:val="004762B1"/>
    <w:rsid w:val="004A45BE"/>
    <w:rsid w:val="004B455E"/>
    <w:rsid w:val="004B745E"/>
    <w:rsid w:val="004D29D1"/>
    <w:rsid w:val="004E6F59"/>
    <w:rsid w:val="00500C23"/>
    <w:rsid w:val="00511230"/>
    <w:rsid w:val="00533B73"/>
    <w:rsid w:val="005377BD"/>
    <w:rsid w:val="00550C99"/>
    <w:rsid w:val="00561DB3"/>
    <w:rsid w:val="0057606E"/>
    <w:rsid w:val="005A396A"/>
    <w:rsid w:val="005A630D"/>
    <w:rsid w:val="005A652C"/>
    <w:rsid w:val="005A6E57"/>
    <w:rsid w:val="005B3E2B"/>
    <w:rsid w:val="005C2CD2"/>
    <w:rsid w:val="005F59FD"/>
    <w:rsid w:val="00624078"/>
    <w:rsid w:val="0062784B"/>
    <w:rsid w:val="006406BA"/>
    <w:rsid w:val="006408DE"/>
    <w:rsid w:val="0065499D"/>
    <w:rsid w:val="00654DB1"/>
    <w:rsid w:val="0068211D"/>
    <w:rsid w:val="006943D5"/>
    <w:rsid w:val="006A2A2E"/>
    <w:rsid w:val="006B11F9"/>
    <w:rsid w:val="006C0CE7"/>
    <w:rsid w:val="006D22D9"/>
    <w:rsid w:val="006F5DF8"/>
    <w:rsid w:val="007127E4"/>
    <w:rsid w:val="00714D6F"/>
    <w:rsid w:val="007314FB"/>
    <w:rsid w:val="0074645E"/>
    <w:rsid w:val="0078044D"/>
    <w:rsid w:val="00780E76"/>
    <w:rsid w:val="007A2199"/>
    <w:rsid w:val="007E0625"/>
    <w:rsid w:val="00826FA3"/>
    <w:rsid w:val="008370BE"/>
    <w:rsid w:val="00850C62"/>
    <w:rsid w:val="0085274E"/>
    <w:rsid w:val="008719A9"/>
    <w:rsid w:val="00885AA9"/>
    <w:rsid w:val="008979DF"/>
    <w:rsid w:val="008B29F7"/>
    <w:rsid w:val="008B63AC"/>
    <w:rsid w:val="008D0705"/>
    <w:rsid w:val="008E2C5D"/>
    <w:rsid w:val="008E52E8"/>
    <w:rsid w:val="008F68AF"/>
    <w:rsid w:val="008F73AD"/>
    <w:rsid w:val="00901AA9"/>
    <w:rsid w:val="009427A0"/>
    <w:rsid w:val="00945B7A"/>
    <w:rsid w:val="0094698A"/>
    <w:rsid w:val="0095494E"/>
    <w:rsid w:val="00973B70"/>
    <w:rsid w:val="00982E1E"/>
    <w:rsid w:val="0099020F"/>
    <w:rsid w:val="00993727"/>
    <w:rsid w:val="009B0333"/>
    <w:rsid w:val="009B1C59"/>
    <w:rsid w:val="00A35BD6"/>
    <w:rsid w:val="00A52BA1"/>
    <w:rsid w:val="00A54959"/>
    <w:rsid w:val="00A63069"/>
    <w:rsid w:val="00A9237A"/>
    <w:rsid w:val="00A93156"/>
    <w:rsid w:val="00A96C45"/>
    <w:rsid w:val="00AD7B0B"/>
    <w:rsid w:val="00AE3FCE"/>
    <w:rsid w:val="00AE4B38"/>
    <w:rsid w:val="00B04A91"/>
    <w:rsid w:val="00B5280A"/>
    <w:rsid w:val="00B63DCB"/>
    <w:rsid w:val="00BA548A"/>
    <w:rsid w:val="00BC2994"/>
    <w:rsid w:val="00BD7E4D"/>
    <w:rsid w:val="00C1275A"/>
    <w:rsid w:val="00C13500"/>
    <w:rsid w:val="00C15AFD"/>
    <w:rsid w:val="00C7149C"/>
    <w:rsid w:val="00C71C58"/>
    <w:rsid w:val="00C92AEE"/>
    <w:rsid w:val="00CA432D"/>
    <w:rsid w:val="00CB5809"/>
    <w:rsid w:val="00CB5840"/>
    <w:rsid w:val="00CB5A56"/>
    <w:rsid w:val="00CB78C4"/>
    <w:rsid w:val="00CF7541"/>
    <w:rsid w:val="00D06207"/>
    <w:rsid w:val="00D47992"/>
    <w:rsid w:val="00D77DDF"/>
    <w:rsid w:val="00D77E81"/>
    <w:rsid w:val="00D85975"/>
    <w:rsid w:val="00D85C46"/>
    <w:rsid w:val="00DA630D"/>
    <w:rsid w:val="00DC2166"/>
    <w:rsid w:val="00DE2C10"/>
    <w:rsid w:val="00DF0D0F"/>
    <w:rsid w:val="00E14AB1"/>
    <w:rsid w:val="00E17B19"/>
    <w:rsid w:val="00E25445"/>
    <w:rsid w:val="00E333C5"/>
    <w:rsid w:val="00E4507A"/>
    <w:rsid w:val="00E53AAC"/>
    <w:rsid w:val="00E675EE"/>
    <w:rsid w:val="00E75263"/>
    <w:rsid w:val="00E758C9"/>
    <w:rsid w:val="00E8161D"/>
    <w:rsid w:val="00E96136"/>
    <w:rsid w:val="00EA3D72"/>
    <w:rsid w:val="00EC08D3"/>
    <w:rsid w:val="00EC5667"/>
    <w:rsid w:val="00EC5FBC"/>
    <w:rsid w:val="00ED087B"/>
    <w:rsid w:val="00EF043D"/>
    <w:rsid w:val="00EF20BC"/>
    <w:rsid w:val="00F01F47"/>
    <w:rsid w:val="00F053CB"/>
    <w:rsid w:val="00F05F81"/>
    <w:rsid w:val="00F15349"/>
    <w:rsid w:val="00F20F78"/>
    <w:rsid w:val="00F21722"/>
    <w:rsid w:val="00F325B6"/>
    <w:rsid w:val="00F52EFC"/>
    <w:rsid w:val="00F64C1C"/>
    <w:rsid w:val="00F7215F"/>
    <w:rsid w:val="00F73B91"/>
    <w:rsid w:val="00F83523"/>
    <w:rsid w:val="00FA210A"/>
    <w:rsid w:val="00FB315A"/>
    <w:rsid w:val="00FD002D"/>
    <w:rsid w:val="00FD11D0"/>
    <w:rsid w:val="00FD182D"/>
    <w:rsid w:val="00FD6D11"/>
    <w:rsid w:val="00FE6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FBE95"/>
  <w15:docId w15:val="{1834A5D8-007D-4D7F-B549-F6F70E78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0BC"/>
    <w:rPr>
      <w:sz w:val="24"/>
    </w:rPr>
  </w:style>
  <w:style w:type="paragraph" w:styleId="Heading2">
    <w:name w:val="heading 2"/>
    <w:basedOn w:val="Normal"/>
    <w:next w:val="Normal"/>
    <w:qFormat/>
    <w:rsid w:val="00500C23"/>
    <w:pPr>
      <w:keepNext/>
      <w:jc w:val="center"/>
      <w:outlineLvl w:val="1"/>
    </w:pPr>
    <w:rPr>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F20BC"/>
    <w:pPr>
      <w:tabs>
        <w:tab w:val="center" w:pos="4320"/>
        <w:tab w:val="right" w:pos="8640"/>
      </w:tabs>
    </w:pPr>
  </w:style>
  <w:style w:type="character" w:styleId="PageNumber">
    <w:name w:val="page number"/>
    <w:basedOn w:val="DefaultParagraphFont"/>
    <w:rsid w:val="00EF20BC"/>
  </w:style>
  <w:style w:type="character" w:styleId="Emphasis">
    <w:name w:val="Emphasis"/>
    <w:basedOn w:val="DefaultParagraphFont"/>
    <w:qFormat/>
    <w:rsid w:val="00EF20BC"/>
    <w:rPr>
      <w:i/>
    </w:rPr>
  </w:style>
  <w:style w:type="paragraph" w:styleId="BodyTextIndent">
    <w:name w:val="Body Text Indent"/>
    <w:basedOn w:val="Normal"/>
    <w:rsid w:val="00EF20BC"/>
    <w:pPr>
      <w:ind w:left="2520" w:hanging="360"/>
    </w:pPr>
  </w:style>
  <w:style w:type="paragraph" w:styleId="BalloonText">
    <w:name w:val="Balloon Text"/>
    <w:basedOn w:val="Normal"/>
    <w:semiHidden/>
    <w:rsid w:val="00511230"/>
    <w:rPr>
      <w:rFonts w:ascii="Tahoma" w:hAnsi="Tahoma" w:cs="Tahoma"/>
      <w:sz w:val="16"/>
      <w:szCs w:val="16"/>
    </w:rPr>
  </w:style>
  <w:style w:type="paragraph" w:styleId="Header">
    <w:name w:val="header"/>
    <w:basedOn w:val="Normal"/>
    <w:rsid w:val="00CA432D"/>
    <w:pPr>
      <w:tabs>
        <w:tab w:val="center" w:pos="4320"/>
        <w:tab w:val="right" w:pos="8640"/>
      </w:tabs>
    </w:pPr>
  </w:style>
  <w:style w:type="paragraph" w:styleId="NormalWeb">
    <w:name w:val="Normal (Web)"/>
    <w:basedOn w:val="Normal"/>
    <w:rsid w:val="00B5280A"/>
    <w:pPr>
      <w:spacing w:before="100" w:beforeAutospacing="1" w:after="100" w:afterAutospacing="1"/>
    </w:pPr>
    <w:rPr>
      <w:szCs w:val="24"/>
    </w:rPr>
  </w:style>
  <w:style w:type="paragraph" w:styleId="ListParagraph">
    <w:name w:val="List Paragraph"/>
    <w:basedOn w:val="Normal"/>
    <w:uiPriority w:val="34"/>
    <w:qFormat/>
    <w:rsid w:val="00A93156"/>
    <w:pPr>
      <w:ind w:left="720"/>
      <w:contextualSpacing/>
    </w:pPr>
  </w:style>
  <w:style w:type="table" w:styleId="TableGrid">
    <w:name w:val="Table Grid"/>
    <w:basedOn w:val="TableNormal"/>
    <w:rsid w:val="00550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07267">
      <w:bodyDiv w:val="1"/>
      <w:marLeft w:val="0"/>
      <w:marRight w:val="0"/>
      <w:marTop w:val="0"/>
      <w:marBottom w:val="0"/>
      <w:divBdr>
        <w:top w:val="none" w:sz="0" w:space="0" w:color="auto"/>
        <w:left w:val="none" w:sz="0" w:space="0" w:color="auto"/>
        <w:bottom w:val="none" w:sz="0" w:space="0" w:color="auto"/>
        <w:right w:val="none" w:sz="0" w:space="0" w:color="auto"/>
      </w:divBdr>
    </w:div>
    <w:div w:id="1857965507">
      <w:bodyDiv w:val="1"/>
      <w:marLeft w:val="0"/>
      <w:marRight w:val="0"/>
      <w:marTop w:val="0"/>
      <w:marBottom w:val="0"/>
      <w:divBdr>
        <w:top w:val="none" w:sz="0" w:space="0" w:color="auto"/>
        <w:left w:val="none" w:sz="0" w:space="0" w:color="auto"/>
        <w:bottom w:val="none" w:sz="0" w:space="0" w:color="auto"/>
        <w:right w:val="none" w:sz="0" w:space="0" w:color="auto"/>
      </w:divBdr>
    </w:div>
    <w:div w:id="210784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24A5C-52D0-4DD8-9DEB-B875A630A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2353</Words>
  <Characters>13184</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REQUEST FOR PROPOSAL</vt:lpstr>
    </vt:vector>
  </TitlesOfParts>
  <Company>City of Columbia</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Danny;Thad</dc:creator>
  <cp:lastModifiedBy>Danny King</cp:lastModifiedBy>
  <cp:revision>6</cp:revision>
  <cp:lastPrinted>2017-01-24T15:47:00Z</cp:lastPrinted>
  <dcterms:created xsi:type="dcterms:W3CDTF">2019-01-02T14:51:00Z</dcterms:created>
  <dcterms:modified xsi:type="dcterms:W3CDTF">2019-01-02T17:17:00Z</dcterms:modified>
</cp:coreProperties>
</file>