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E3B" w:rsidRDefault="008F3E3B" w:rsidP="008F3E3B">
      <w:pPr>
        <w:spacing w:after="0" w:line="240" w:lineRule="auto"/>
        <w:jc w:val="center"/>
        <w:rPr>
          <w:rFonts w:ascii="Cambria Math" w:eastAsia="Calibri" w:hAnsi="Cambria Math" w:cs="Calibri"/>
          <w:color w:val="000000"/>
          <w:sz w:val="28"/>
          <w:szCs w:val="28"/>
        </w:rPr>
      </w:pPr>
      <w:r>
        <w:rPr>
          <w:rFonts w:ascii="Cambria Math" w:eastAsia="Calibri" w:hAnsi="Cambria Math" w:cs="Calibri"/>
          <w:color w:val="000000"/>
          <w:sz w:val="28"/>
          <w:szCs w:val="28"/>
        </w:rPr>
        <w:t>Addendum #4</w:t>
      </w:r>
    </w:p>
    <w:p w:rsidR="008F3E3B" w:rsidRDefault="008F3E3B" w:rsidP="008F3E3B">
      <w:pPr>
        <w:spacing w:after="0" w:line="240" w:lineRule="auto"/>
        <w:jc w:val="center"/>
        <w:rPr>
          <w:rFonts w:ascii="Cambria Math" w:eastAsia="Calibri" w:hAnsi="Cambria Math" w:cs="Calibri"/>
          <w:color w:val="000000"/>
          <w:sz w:val="28"/>
          <w:szCs w:val="28"/>
        </w:rPr>
      </w:pPr>
    </w:p>
    <w:p w:rsidR="008F3E3B" w:rsidRDefault="008F3E3B" w:rsidP="008F3E3B">
      <w:pPr>
        <w:spacing w:after="0" w:line="240" w:lineRule="auto"/>
        <w:jc w:val="center"/>
        <w:rPr>
          <w:rFonts w:ascii="Cambria Math" w:eastAsia="Calibri" w:hAnsi="Cambria Math" w:cs="Calibri"/>
          <w:color w:val="000000"/>
          <w:sz w:val="28"/>
          <w:szCs w:val="28"/>
        </w:rPr>
      </w:pPr>
      <w:r>
        <w:rPr>
          <w:rFonts w:ascii="Cambria Math" w:eastAsia="Calibri" w:hAnsi="Cambria Math" w:cs="Calibri"/>
          <w:color w:val="000000"/>
          <w:sz w:val="28"/>
          <w:szCs w:val="28"/>
        </w:rPr>
        <w:t>Questions / Answers</w:t>
      </w:r>
    </w:p>
    <w:p w:rsidR="008F3E3B" w:rsidRDefault="008F3E3B" w:rsidP="008F3E3B">
      <w:pPr>
        <w:spacing w:after="0" w:line="240" w:lineRule="auto"/>
        <w:rPr>
          <w:rFonts w:ascii="Cambria Math" w:eastAsia="Calibri" w:hAnsi="Cambria Math" w:cs="Calibri"/>
          <w:color w:val="000000"/>
          <w:sz w:val="28"/>
          <w:szCs w:val="28"/>
        </w:rPr>
      </w:pPr>
    </w:p>
    <w:p w:rsidR="008F3E3B" w:rsidRPr="006F482B" w:rsidRDefault="008F3E3B" w:rsidP="008F3E3B">
      <w:pPr>
        <w:pStyle w:val="ListParagraph"/>
        <w:numPr>
          <w:ilvl w:val="0"/>
          <w:numId w:val="3"/>
        </w:numPr>
        <w:spacing w:after="0" w:line="240" w:lineRule="auto"/>
        <w:rPr>
          <w:rFonts w:ascii="Cambria Math" w:eastAsia="Calibri" w:hAnsi="Cambria Math" w:cs="Calibri"/>
          <w:color w:val="000000"/>
          <w:sz w:val="24"/>
          <w:szCs w:val="24"/>
        </w:rPr>
      </w:pPr>
      <w:r w:rsidRPr="006F482B">
        <w:rPr>
          <w:rFonts w:ascii="Cambria Math" w:eastAsia="Calibri" w:hAnsi="Cambria Math" w:cs="Calibri"/>
          <w:color w:val="000000"/>
          <w:sz w:val="24"/>
          <w:szCs w:val="24"/>
        </w:rPr>
        <w:t>Do you want the 6” X 6</w:t>
      </w:r>
      <w:r w:rsidR="008F6373" w:rsidRPr="006F482B">
        <w:rPr>
          <w:rFonts w:ascii="Cambria Math" w:eastAsia="Calibri" w:hAnsi="Cambria Math" w:cs="Calibri"/>
          <w:color w:val="000000"/>
          <w:sz w:val="24"/>
          <w:szCs w:val="24"/>
        </w:rPr>
        <w:t>” square</w:t>
      </w:r>
      <w:r w:rsidRPr="006F482B">
        <w:rPr>
          <w:rFonts w:ascii="Cambria Math" w:eastAsia="Calibri" w:hAnsi="Cambria Math" w:cs="Calibri"/>
          <w:color w:val="000000"/>
          <w:sz w:val="24"/>
          <w:szCs w:val="24"/>
        </w:rPr>
        <w:t xml:space="preserve"> tube to have .125” wall or .25 wall?</w:t>
      </w:r>
    </w:p>
    <w:p w:rsidR="008F3E3B" w:rsidRPr="006F482B" w:rsidRDefault="008F3E3B" w:rsidP="008F3E3B">
      <w:pPr>
        <w:spacing w:after="0" w:line="240" w:lineRule="auto"/>
        <w:ind w:left="360"/>
        <w:rPr>
          <w:rFonts w:ascii="Cambria Math" w:eastAsia="Calibri" w:hAnsi="Cambria Math" w:cs="Calibri"/>
          <w:color w:val="000000"/>
          <w:sz w:val="24"/>
          <w:szCs w:val="24"/>
        </w:rPr>
      </w:pPr>
    </w:p>
    <w:p w:rsidR="008F3E3B" w:rsidRPr="006F482B" w:rsidRDefault="008F3E3B" w:rsidP="008F3E3B">
      <w:pPr>
        <w:spacing w:after="0" w:line="240" w:lineRule="auto"/>
        <w:ind w:left="360"/>
        <w:rPr>
          <w:rFonts w:ascii="Cambria Math" w:eastAsia="Calibri" w:hAnsi="Cambria Math" w:cs="Calibri"/>
          <w:color w:val="000000"/>
          <w:sz w:val="24"/>
          <w:szCs w:val="24"/>
        </w:rPr>
      </w:pPr>
      <w:r w:rsidRPr="006F482B">
        <w:rPr>
          <w:rFonts w:ascii="Cambria Math" w:eastAsia="Calibri" w:hAnsi="Cambria Math" w:cs="Calibri"/>
          <w:color w:val="FF0000"/>
          <w:sz w:val="24"/>
          <w:szCs w:val="24"/>
        </w:rPr>
        <w:t xml:space="preserve">Answer: </w:t>
      </w:r>
      <w:r w:rsidRPr="006F482B">
        <w:rPr>
          <w:rFonts w:ascii="Cambria Math" w:eastAsia="Calibri" w:hAnsi="Cambria Math" w:cs="Calibri"/>
          <w:color w:val="FF0000"/>
          <w:sz w:val="24"/>
          <w:szCs w:val="24"/>
        </w:rPr>
        <w:t xml:space="preserve"> </w:t>
      </w:r>
      <w:r w:rsidRPr="006F482B">
        <w:rPr>
          <w:rFonts w:ascii="Cambria Math" w:eastAsia="Calibri" w:hAnsi="Cambria Math" w:cs="Calibri"/>
          <w:color w:val="FF0000"/>
          <w:sz w:val="24"/>
          <w:szCs w:val="24"/>
        </w:rPr>
        <w:t>1.) .25” should be more stout and stronger for the support.</w:t>
      </w:r>
    </w:p>
    <w:p w:rsidR="008F3E3B" w:rsidRPr="006F482B" w:rsidRDefault="008F3E3B" w:rsidP="008F3E3B">
      <w:pPr>
        <w:spacing w:after="0" w:line="240" w:lineRule="auto"/>
        <w:ind w:left="360"/>
        <w:rPr>
          <w:rFonts w:ascii="Cambria Math" w:eastAsia="Calibri" w:hAnsi="Cambria Math" w:cs="Calibri"/>
          <w:color w:val="000000"/>
          <w:sz w:val="24"/>
          <w:szCs w:val="24"/>
        </w:rPr>
      </w:pPr>
    </w:p>
    <w:p w:rsidR="008F3E3B" w:rsidRPr="006F482B" w:rsidRDefault="008F3E3B" w:rsidP="008F3E3B">
      <w:pPr>
        <w:pStyle w:val="ListParagraph"/>
        <w:numPr>
          <w:ilvl w:val="0"/>
          <w:numId w:val="3"/>
        </w:numPr>
        <w:spacing w:after="0" w:line="240" w:lineRule="auto"/>
        <w:rPr>
          <w:rFonts w:ascii="Cambria Math" w:eastAsia="Calibri" w:hAnsi="Cambria Math" w:cs="Times New Roman"/>
          <w:color w:val="000000"/>
          <w:sz w:val="24"/>
          <w:szCs w:val="24"/>
        </w:rPr>
      </w:pPr>
      <w:r w:rsidRPr="006F482B">
        <w:rPr>
          <w:rFonts w:ascii="Cambria Math" w:eastAsia="Calibri" w:hAnsi="Cambria Math" w:cs="Times New Roman"/>
          <w:color w:val="000000"/>
          <w:sz w:val="24"/>
          <w:szCs w:val="24"/>
        </w:rPr>
        <w:t xml:space="preserve">Do you understand the destination graphics specifically called out is </w:t>
      </w:r>
      <w:r w:rsidRPr="006F482B">
        <w:rPr>
          <w:rFonts w:ascii="Cambria Math" w:eastAsia="Calibri" w:hAnsi="Cambria Math" w:cs="Times New Roman"/>
          <w:color w:val="000000"/>
          <w:sz w:val="24"/>
          <w:szCs w:val="24"/>
        </w:rPr>
        <w:t xml:space="preserve">  </w:t>
      </w:r>
      <w:r w:rsidRPr="006F482B">
        <w:rPr>
          <w:rFonts w:ascii="Cambria Math" w:eastAsia="Calibri" w:hAnsi="Cambria Math" w:cs="Times New Roman"/>
          <w:color w:val="000000"/>
          <w:sz w:val="24"/>
          <w:szCs w:val="24"/>
        </w:rPr>
        <w:t>using a non-reflective green vinyl?</w:t>
      </w:r>
    </w:p>
    <w:p w:rsidR="008F3E3B" w:rsidRPr="006F482B" w:rsidRDefault="008F3E3B" w:rsidP="008F3E3B">
      <w:pPr>
        <w:spacing w:after="0" w:line="240" w:lineRule="auto"/>
        <w:ind w:left="360"/>
        <w:rPr>
          <w:rFonts w:ascii="Cambria Math" w:eastAsia="Calibri" w:hAnsi="Cambria Math" w:cs="Times New Roman"/>
          <w:color w:val="000000"/>
          <w:sz w:val="24"/>
          <w:szCs w:val="24"/>
        </w:rPr>
      </w:pPr>
    </w:p>
    <w:p w:rsidR="008F3E3B" w:rsidRPr="006F482B" w:rsidRDefault="006F482B" w:rsidP="008F3E3B">
      <w:pPr>
        <w:spacing w:after="0" w:line="240" w:lineRule="auto"/>
        <w:ind w:left="360"/>
        <w:rPr>
          <w:rFonts w:ascii="Cambria Math" w:eastAsia="Calibri" w:hAnsi="Cambria Math" w:cs="Times New Roman"/>
          <w:color w:val="FF0000"/>
          <w:sz w:val="24"/>
          <w:szCs w:val="24"/>
        </w:rPr>
      </w:pPr>
      <w:r w:rsidRPr="006F482B">
        <w:rPr>
          <w:rFonts w:ascii="Cambria Math" w:eastAsia="Calibri" w:hAnsi="Cambria Math" w:cs="Times New Roman"/>
          <w:color w:val="FF0000"/>
          <w:sz w:val="24"/>
          <w:szCs w:val="24"/>
        </w:rPr>
        <w:t xml:space="preserve">Answer:  2.) I would like to see an option in the quote for the destination panel to be reflective green vinyl.  </w:t>
      </w:r>
    </w:p>
    <w:p w:rsidR="006F482B" w:rsidRPr="006F482B" w:rsidRDefault="006F482B" w:rsidP="008F3E3B">
      <w:pPr>
        <w:spacing w:after="0" w:line="240" w:lineRule="auto"/>
        <w:ind w:left="360"/>
        <w:rPr>
          <w:rFonts w:ascii="Cambria Math" w:eastAsia="Calibri" w:hAnsi="Cambria Math" w:cs="Times New Roman"/>
          <w:color w:val="FF0000"/>
          <w:sz w:val="24"/>
          <w:szCs w:val="24"/>
        </w:rPr>
      </w:pPr>
    </w:p>
    <w:p w:rsidR="006F482B" w:rsidRPr="006F482B" w:rsidRDefault="006F482B" w:rsidP="006F482B">
      <w:pPr>
        <w:pStyle w:val="ListParagraph"/>
        <w:numPr>
          <w:ilvl w:val="0"/>
          <w:numId w:val="3"/>
        </w:numPr>
        <w:rPr>
          <w:rFonts w:ascii="Cambria Math" w:eastAsia="Calibri" w:hAnsi="Cambria Math" w:cs="Calibri"/>
          <w:color w:val="000000"/>
          <w:sz w:val="24"/>
          <w:szCs w:val="24"/>
        </w:rPr>
      </w:pPr>
      <w:r w:rsidRPr="006F482B">
        <w:rPr>
          <w:rFonts w:ascii="Cambria Math" w:eastAsia="Calibri" w:hAnsi="Cambria Math" w:cs="Calibri"/>
          <w:color w:val="000000"/>
          <w:sz w:val="24"/>
          <w:szCs w:val="24"/>
        </w:rPr>
        <w:t xml:space="preserve"> Item C </w:t>
      </w:r>
      <w:r w:rsidR="008F6373" w:rsidRPr="006F482B">
        <w:rPr>
          <w:rFonts w:ascii="Cambria Math" w:eastAsia="Calibri" w:hAnsi="Cambria Math" w:cs="Calibri"/>
          <w:color w:val="000000"/>
          <w:sz w:val="24"/>
          <w:szCs w:val="24"/>
        </w:rPr>
        <w:t>(the</w:t>
      </w:r>
      <w:r w:rsidRPr="006F482B">
        <w:rPr>
          <w:rFonts w:ascii="Cambria Math" w:eastAsia="Calibri" w:hAnsi="Cambria Math" w:cs="Calibri"/>
          <w:color w:val="000000"/>
          <w:sz w:val="24"/>
          <w:szCs w:val="24"/>
        </w:rPr>
        <w:t xml:space="preserve"> sign frame) calls out to be painted P5 </w:t>
      </w:r>
      <w:r w:rsidR="008F6373" w:rsidRPr="006F482B">
        <w:rPr>
          <w:rFonts w:ascii="Cambria Math" w:eastAsia="Calibri" w:hAnsi="Cambria Math" w:cs="Calibri"/>
          <w:color w:val="000000"/>
          <w:sz w:val="24"/>
          <w:szCs w:val="24"/>
        </w:rPr>
        <w:t>(which</w:t>
      </w:r>
      <w:r w:rsidRPr="006F482B">
        <w:rPr>
          <w:rFonts w:ascii="Cambria Math" w:eastAsia="Calibri" w:hAnsi="Cambria Math" w:cs="Calibri"/>
          <w:color w:val="000000"/>
          <w:sz w:val="24"/>
          <w:szCs w:val="24"/>
        </w:rPr>
        <w:t xml:space="preserve"> is beige) vs the visual design of green. I assume this is a typo. </w:t>
      </w:r>
    </w:p>
    <w:p w:rsidR="006F482B" w:rsidRPr="006F482B" w:rsidRDefault="006F482B" w:rsidP="006F482B">
      <w:pPr>
        <w:ind w:left="360"/>
        <w:rPr>
          <w:rFonts w:ascii="Cambria Math" w:eastAsia="Calibri" w:hAnsi="Cambria Math" w:cs="Calibri"/>
          <w:color w:val="FF0000"/>
          <w:sz w:val="24"/>
          <w:szCs w:val="24"/>
        </w:rPr>
      </w:pPr>
      <w:r w:rsidRPr="006F482B">
        <w:rPr>
          <w:rFonts w:ascii="Cambria Math" w:eastAsia="Calibri" w:hAnsi="Cambria Math" w:cs="Calibri"/>
          <w:color w:val="FF0000"/>
          <w:sz w:val="24"/>
          <w:szCs w:val="24"/>
        </w:rPr>
        <w:t>Answer:</w:t>
      </w:r>
      <w:r w:rsidRPr="006F482B">
        <w:rPr>
          <w:color w:val="FF0000"/>
          <w:sz w:val="24"/>
          <w:szCs w:val="24"/>
        </w:rPr>
        <w:t xml:space="preserve"> </w:t>
      </w:r>
      <w:r w:rsidRPr="006F482B">
        <w:rPr>
          <w:rFonts w:ascii="Cambria Math" w:eastAsia="Calibri" w:hAnsi="Cambria Math" w:cs="Calibri"/>
          <w:color w:val="FF0000"/>
          <w:sz w:val="24"/>
          <w:szCs w:val="24"/>
        </w:rPr>
        <w:t xml:space="preserve">3).  </w:t>
      </w:r>
      <w:r>
        <w:rPr>
          <w:rFonts w:ascii="Cambria Math" w:eastAsia="Calibri" w:hAnsi="Cambria Math" w:cs="Calibri"/>
          <w:color w:val="FF0000"/>
          <w:sz w:val="24"/>
          <w:szCs w:val="24"/>
        </w:rPr>
        <w:t xml:space="preserve"> </w:t>
      </w:r>
      <w:r w:rsidR="008F6373">
        <w:rPr>
          <w:rFonts w:ascii="Cambria Math" w:eastAsia="Calibri" w:hAnsi="Cambria Math" w:cs="Calibri"/>
          <w:color w:val="FF0000"/>
          <w:sz w:val="24"/>
          <w:szCs w:val="24"/>
        </w:rPr>
        <w:t xml:space="preserve">Yes, </w:t>
      </w:r>
      <w:r w:rsidRPr="006F482B">
        <w:rPr>
          <w:rFonts w:ascii="Cambria Math" w:eastAsia="Calibri" w:hAnsi="Cambria Math" w:cs="Calibri"/>
          <w:color w:val="FF0000"/>
          <w:sz w:val="24"/>
          <w:szCs w:val="24"/>
        </w:rPr>
        <w:t>You are correct, it’s a typo and should be P1</w:t>
      </w:r>
    </w:p>
    <w:p w:rsidR="006F482B" w:rsidRPr="006F482B" w:rsidRDefault="006F482B" w:rsidP="006F482B">
      <w:pPr>
        <w:pStyle w:val="ListParagraph"/>
        <w:numPr>
          <w:ilvl w:val="0"/>
          <w:numId w:val="3"/>
        </w:numPr>
        <w:rPr>
          <w:rFonts w:ascii="Cambria Math" w:eastAsia="Calibri" w:hAnsi="Cambria Math" w:cs="Calibri"/>
          <w:color w:val="000000"/>
          <w:sz w:val="24"/>
          <w:szCs w:val="24"/>
        </w:rPr>
      </w:pPr>
      <w:r w:rsidRPr="006F482B">
        <w:rPr>
          <w:rFonts w:ascii="Cambria Math" w:eastAsia="Calibri" w:hAnsi="Cambria Math" w:cs="Times New Roman"/>
          <w:color w:val="000000"/>
          <w:sz w:val="24"/>
          <w:szCs w:val="24"/>
        </w:rPr>
        <w:t xml:space="preserve"> </w:t>
      </w:r>
      <w:r w:rsidRPr="006F482B">
        <w:rPr>
          <w:rFonts w:ascii="Cambria Math" w:eastAsia="Calibri" w:hAnsi="Cambria Math" w:cs="Times New Roman"/>
          <w:color w:val="000000"/>
          <w:sz w:val="24"/>
          <w:szCs w:val="24"/>
        </w:rPr>
        <w:t xml:space="preserve">Item B – is recommending to use .75 thick aluminum. Considering the raw material cost in today’s market, would you allow .50 material </w:t>
      </w:r>
      <w:r w:rsidRPr="006F482B">
        <w:rPr>
          <w:rFonts w:ascii="Cambria Math" w:eastAsia="Calibri" w:hAnsi="Cambria Math" w:cs="Times New Roman"/>
          <w:color w:val="000000"/>
          <w:sz w:val="24"/>
          <w:szCs w:val="24"/>
        </w:rPr>
        <w:t xml:space="preserve">instead? </w:t>
      </w:r>
    </w:p>
    <w:p w:rsidR="006F482B" w:rsidRPr="006F482B" w:rsidRDefault="006F482B" w:rsidP="006F482B">
      <w:pPr>
        <w:ind w:left="360"/>
        <w:rPr>
          <w:rFonts w:ascii="Cambria Math" w:eastAsia="Calibri" w:hAnsi="Cambria Math" w:cs="Calibri"/>
          <w:color w:val="FF0000"/>
          <w:sz w:val="24"/>
          <w:szCs w:val="24"/>
        </w:rPr>
      </w:pPr>
      <w:r w:rsidRPr="006F482B">
        <w:rPr>
          <w:rFonts w:ascii="Cambria Math" w:eastAsia="Calibri" w:hAnsi="Cambria Math" w:cs="Calibri"/>
          <w:color w:val="FF0000"/>
          <w:sz w:val="24"/>
          <w:szCs w:val="24"/>
        </w:rPr>
        <w:t xml:space="preserve">Answer: 4.) </w:t>
      </w:r>
      <w:r>
        <w:rPr>
          <w:rFonts w:ascii="Cambria Math" w:eastAsia="Calibri" w:hAnsi="Cambria Math" w:cs="Calibri"/>
          <w:color w:val="FF0000"/>
          <w:sz w:val="24"/>
          <w:szCs w:val="24"/>
        </w:rPr>
        <w:t xml:space="preserve"> </w:t>
      </w:r>
      <w:r w:rsidRPr="006F482B">
        <w:rPr>
          <w:rFonts w:ascii="Cambria Math" w:eastAsia="Calibri" w:hAnsi="Cambria Math" w:cs="Calibri"/>
          <w:color w:val="FF0000"/>
          <w:sz w:val="24"/>
          <w:szCs w:val="24"/>
        </w:rPr>
        <w:t xml:space="preserve"> I would accept a quote with this as an option, but quote as described in the drawing packet</w:t>
      </w:r>
    </w:p>
    <w:p w:rsidR="006F482B" w:rsidRPr="006F482B" w:rsidRDefault="006F482B" w:rsidP="006F482B">
      <w:pPr>
        <w:pStyle w:val="ListParagraph"/>
        <w:numPr>
          <w:ilvl w:val="0"/>
          <w:numId w:val="3"/>
        </w:numPr>
        <w:rPr>
          <w:rFonts w:ascii="Cambria Math" w:eastAsia="Calibri" w:hAnsi="Cambria Math" w:cs="Calibri"/>
          <w:color w:val="000000"/>
          <w:sz w:val="24"/>
          <w:szCs w:val="24"/>
        </w:rPr>
      </w:pPr>
      <w:r w:rsidRPr="006F482B">
        <w:rPr>
          <w:rFonts w:ascii="Cambria Math" w:eastAsia="Calibri" w:hAnsi="Cambria Math" w:cs="Calibri"/>
          <w:color w:val="000000"/>
          <w:sz w:val="24"/>
          <w:szCs w:val="24"/>
        </w:rPr>
        <w:t xml:space="preserve"> Can you confirm my understanding of the sign panel is the front side is painted and has the non-reflective vinyl for the destinations?  The back side (of the same .125 sheet) is painted green with a digitally printed Griffin icon logo.</w:t>
      </w:r>
    </w:p>
    <w:p w:rsidR="006F482B" w:rsidRPr="006F482B" w:rsidRDefault="006F482B" w:rsidP="006F482B">
      <w:pPr>
        <w:ind w:left="360"/>
        <w:rPr>
          <w:rFonts w:ascii="Cambria Math" w:eastAsia="Calibri" w:hAnsi="Cambria Math" w:cs="Calibri"/>
          <w:color w:val="FF0000"/>
          <w:sz w:val="24"/>
          <w:szCs w:val="24"/>
        </w:rPr>
      </w:pPr>
      <w:r w:rsidRPr="006F482B">
        <w:rPr>
          <w:rFonts w:ascii="Cambria Math" w:eastAsia="Calibri" w:hAnsi="Cambria Math" w:cs="Calibri"/>
          <w:color w:val="FF0000"/>
          <w:sz w:val="24"/>
          <w:szCs w:val="24"/>
        </w:rPr>
        <w:t xml:space="preserve">Answer:  5.)  </w:t>
      </w:r>
      <w:r>
        <w:rPr>
          <w:rFonts w:ascii="Cambria Math" w:eastAsia="Calibri" w:hAnsi="Cambria Math" w:cs="Calibri"/>
          <w:color w:val="FF0000"/>
          <w:sz w:val="24"/>
          <w:szCs w:val="24"/>
        </w:rPr>
        <w:t xml:space="preserve"> </w:t>
      </w:r>
      <w:r w:rsidRPr="006F482B">
        <w:rPr>
          <w:rFonts w:ascii="Cambria Math" w:eastAsia="Calibri" w:hAnsi="Cambria Math" w:cs="Calibri"/>
          <w:color w:val="FF0000"/>
          <w:sz w:val="24"/>
          <w:szCs w:val="24"/>
        </w:rPr>
        <w:t>Yes, confirmed</w:t>
      </w:r>
    </w:p>
    <w:p w:rsidR="006F482B" w:rsidRPr="006F482B" w:rsidRDefault="006F482B" w:rsidP="006F482B">
      <w:pPr>
        <w:pStyle w:val="ListParagraph"/>
        <w:numPr>
          <w:ilvl w:val="0"/>
          <w:numId w:val="3"/>
        </w:numPr>
        <w:rPr>
          <w:rFonts w:ascii="Cambria Math" w:eastAsia="Calibri" w:hAnsi="Cambria Math" w:cs="Calibri"/>
          <w:color w:val="000000"/>
          <w:sz w:val="24"/>
          <w:szCs w:val="24"/>
        </w:rPr>
      </w:pPr>
      <w:r w:rsidRPr="006F482B">
        <w:rPr>
          <w:rFonts w:ascii="Cambria Math" w:eastAsia="Calibri" w:hAnsi="Cambria Math" w:cs="Calibri"/>
          <w:color w:val="000000"/>
          <w:sz w:val="24"/>
          <w:szCs w:val="24"/>
        </w:rPr>
        <w:t xml:space="preserve"> Confirming again that D &amp; E are now one combined .125 panel vs two individual .25 panels.</w:t>
      </w:r>
    </w:p>
    <w:p w:rsidR="006F482B" w:rsidRPr="006F482B" w:rsidRDefault="006F482B" w:rsidP="006F482B">
      <w:pPr>
        <w:ind w:left="360"/>
        <w:rPr>
          <w:rFonts w:ascii="Cambria Math" w:eastAsia="Calibri" w:hAnsi="Cambria Math" w:cs="Calibri"/>
          <w:color w:val="FF0000"/>
          <w:sz w:val="24"/>
          <w:szCs w:val="24"/>
        </w:rPr>
      </w:pPr>
      <w:r w:rsidRPr="006F482B">
        <w:rPr>
          <w:rFonts w:ascii="Cambria Math" w:eastAsia="Calibri" w:hAnsi="Cambria Math" w:cs="Calibri"/>
          <w:color w:val="FF0000"/>
          <w:sz w:val="24"/>
          <w:szCs w:val="24"/>
        </w:rPr>
        <w:t xml:space="preserve">Answer: 6.)  </w:t>
      </w:r>
      <w:r>
        <w:rPr>
          <w:rFonts w:ascii="Cambria Math" w:eastAsia="Calibri" w:hAnsi="Cambria Math" w:cs="Calibri"/>
          <w:color w:val="FF0000"/>
          <w:sz w:val="24"/>
          <w:szCs w:val="24"/>
        </w:rPr>
        <w:t xml:space="preserve"> </w:t>
      </w:r>
      <w:r w:rsidRPr="006F482B">
        <w:rPr>
          <w:rFonts w:ascii="Cambria Math" w:eastAsia="Calibri" w:hAnsi="Cambria Math" w:cs="Calibri"/>
          <w:color w:val="FF0000"/>
          <w:sz w:val="24"/>
          <w:szCs w:val="24"/>
        </w:rPr>
        <w:t>Yes, confirmed</w:t>
      </w:r>
    </w:p>
    <w:p w:rsidR="006F482B" w:rsidRPr="006F482B" w:rsidRDefault="006F482B" w:rsidP="006F482B">
      <w:pPr>
        <w:pStyle w:val="ListParagraph"/>
        <w:numPr>
          <w:ilvl w:val="0"/>
          <w:numId w:val="3"/>
        </w:numPr>
        <w:rPr>
          <w:rFonts w:ascii="Cambria Math" w:eastAsia="Calibri" w:hAnsi="Cambria Math" w:cs="Calibri"/>
          <w:color w:val="000000"/>
          <w:sz w:val="24"/>
          <w:szCs w:val="24"/>
        </w:rPr>
      </w:pPr>
      <w:r w:rsidRPr="006F482B">
        <w:rPr>
          <w:rFonts w:ascii="Cambria Math" w:eastAsia="Calibri" w:hAnsi="Cambria Math" w:cs="Calibri"/>
          <w:color w:val="000000"/>
          <w:sz w:val="24"/>
          <w:szCs w:val="24"/>
        </w:rPr>
        <w:t>Did you obtain a variance from GDOT to use 3.75” copy size vs the standard 4” and 6”?  If you didn’t not get that variance do you want us to still quote the panel size as drawn at 43” x 50”? If we need to allow for 6” copy to be used on the street faster than 25 mph the panel size should be 84” x 50”. This could truly become a large dollar impact either in bidding or as a change order.</w:t>
      </w:r>
    </w:p>
    <w:p w:rsidR="006F482B" w:rsidRPr="006F482B" w:rsidRDefault="006F482B" w:rsidP="006F482B">
      <w:pPr>
        <w:ind w:left="360"/>
        <w:rPr>
          <w:rFonts w:ascii="Cambria Math" w:eastAsia="Calibri" w:hAnsi="Cambria Math" w:cs="Calibri"/>
          <w:color w:val="FF0000"/>
          <w:sz w:val="24"/>
          <w:szCs w:val="24"/>
        </w:rPr>
      </w:pPr>
      <w:r w:rsidRPr="006F482B">
        <w:rPr>
          <w:rFonts w:ascii="Cambria Math" w:eastAsia="Calibri" w:hAnsi="Cambria Math" w:cs="Calibri"/>
          <w:color w:val="FF0000"/>
          <w:sz w:val="24"/>
          <w:szCs w:val="24"/>
        </w:rPr>
        <w:t>Answer: 7.)   I’m working with a graphic designer now on some changes to the panel itself to maximize the font size to at least 4”; those updates will be provided as soon as I have them; however what you see along with the list of signs and their points of Interest were all submitted to GDOT and were approved.</w:t>
      </w:r>
    </w:p>
    <w:p w:rsidR="006F482B" w:rsidRPr="006F482B" w:rsidRDefault="006F482B" w:rsidP="006F482B">
      <w:pPr>
        <w:pStyle w:val="ListParagraph"/>
        <w:numPr>
          <w:ilvl w:val="0"/>
          <w:numId w:val="3"/>
        </w:numPr>
        <w:rPr>
          <w:rFonts w:ascii="Cambria Math" w:eastAsia="Calibri" w:hAnsi="Cambria Math" w:cs="Calibri"/>
          <w:color w:val="000000"/>
          <w:sz w:val="24"/>
          <w:szCs w:val="24"/>
        </w:rPr>
      </w:pPr>
      <w:r w:rsidRPr="006F482B">
        <w:rPr>
          <w:rFonts w:ascii="Cambria Math" w:eastAsia="Calibri" w:hAnsi="Cambria Math" w:cs="Calibri"/>
          <w:color w:val="000000"/>
          <w:sz w:val="24"/>
          <w:szCs w:val="24"/>
        </w:rPr>
        <w:lastRenderedPageBreak/>
        <w:t xml:space="preserve"> Finally - GDOT also only allows 4 destination per wayfinding sign. Did you get a variance for this?</w:t>
      </w:r>
    </w:p>
    <w:p w:rsidR="006F482B" w:rsidRPr="006F482B" w:rsidRDefault="006F482B" w:rsidP="006F482B">
      <w:pPr>
        <w:ind w:left="360"/>
        <w:rPr>
          <w:rFonts w:ascii="Cambria Math" w:eastAsia="Calibri" w:hAnsi="Cambria Math" w:cs="Calibri"/>
          <w:color w:val="FF0000"/>
          <w:sz w:val="24"/>
          <w:szCs w:val="24"/>
        </w:rPr>
      </w:pPr>
      <w:r w:rsidRPr="006F482B">
        <w:rPr>
          <w:rFonts w:ascii="Cambria Math" w:eastAsia="Calibri" w:hAnsi="Cambria Math" w:cs="Calibri"/>
          <w:color w:val="FF0000"/>
          <w:sz w:val="24"/>
          <w:szCs w:val="24"/>
        </w:rPr>
        <w:t>Answer: 8.)</w:t>
      </w:r>
      <w:r>
        <w:rPr>
          <w:rFonts w:ascii="Cambria Math" w:eastAsia="Calibri" w:hAnsi="Cambria Math" w:cs="Calibri"/>
          <w:color w:val="FF0000"/>
          <w:sz w:val="24"/>
          <w:szCs w:val="24"/>
        </w:rPr>
        <w:t xml:space="preserve">   </w:t>
      </w:r>
      <w:r w:rsidRPr="006F482B">
        <w:rPr>
          <w:rFonts w:ascii="Cambria Math" w:eastAsia="Calibri" w:hAnsi="Cambria Math" w:cs="Calibri"/>
          <w:color w:val="FF0000"/>
          <w:sz w:val="24"/>
          <w:szCs w:val="24"/>
        </w:rPr>
        <w:t>Once again, this project was sent with all of the Points of Interest that are sho</w:t>
      </w:r>
      <w:bookmarkStart w:id="0" w:name="_GoBack"/>
      <w:bookmarkEnd w:id="0"/>
      <w:r w:rsidRPr="006F482B">
        <w:rPr>
          <w:rFonts w:ascii="Cambria Math" w:eastAsia="Calibri" w:hAnsi="Cambria Math" w:cs="Calibri"/>
          <w:color w:val="FF0000"/>
          <w:sz w:val="24"/>
          <w:szCs w:val="24"/>
        </w:rPr>
        <w:t>wn in the wayfinding signage list and GDOT has approved the project to begin.</w:t>
      </w:r>
    </w:p>
    <w:p w:rsidR="006F482B" w:rsidRPr="006F482B" w:rsidRDefault="006F482B" w:rsidP="006F482B">
      <w:pPr>
        <w:spacing w:after="0" w:line="240" w:lineRule="auto"/>
        <w:rPr>
          <w:rFonts w:ascii="Cambria Math" w:eastAsia="Calibri" w:hAnsi="Cambria Math" w:cs="Calibri"/>
          <w:color w:val="000000"/>
          <w:sz w:val="24"/>
          <w:szCs w:val="24"/>
        </w:rPr>
      </w:pPr>
    </w:p>
    <w:p w:rsidR="006F482B" w:rsidRPr="006F482B" w:rsidRDefault="006F482B" w:rsidP="008F3E3B">
      <w:pPr>
        <w:spacing w:after="0" w:line="240" w:lineRule="auto"/>
        <w:ind w:left="360"/>
        <w:rPr>
          <w:rFonts w:ascii="Cambria Math" w:eastAsia="Calibri" w:hAnsi="Cambria Math" w:cs="Times New Roman"/>
          <w:sz w:val="24"/>
          <w:szCs w:val="24"/>
        </w:rPr>
      </w:pPr>
    </w:p>
    <w:p w:rsidR="00754D13" w:rsidRPr="006F482B" w:rsidRDefault="00754D13">
      <w:pPr>
        <w:rPr>
          <w:sz w:val="24"/>
          <w:szCs w:val="24"/>
        </w:rPr>
      </w:pPr>
    </w:p>
    <w:sectPr w:rsidR="00754D13" w:rsidRPr="006F4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86040"/>
    <w:multiLevelType w:val="hybridMultilevel"/>
    <w:tmpl w:val="C910F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303ED"/>
    <w:multiLevelType w:val="hybridMultilevel"/>
    <w:tmpl w:val="EFECB0C4"/>
    <w:lvl w:ilvl="0" w:tplc="FC5E3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6C5DEF"/>
    <w:multiLevelType w:val="hybridMultilevel"/>
    <w:tmpl w:val="D744E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3B"/>
    <w:rsid w:val="006F482B"/>
    <w:rsid w:val="00754D13"/>
    <w:rsid w:val="008F3E3B"/>
    <w:rsid w:val="008F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2CEF"/>
  <w15:chartTrackingRefBased/>
  <w15:docId w15:val="{E9AC6EA9-0CD6-44B5-B48E-FE9B2B54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784521">
      <w:bodyDiv w:val="1"/>
      <w:marLeft w:val="0"/>
      <w:marRight w:val="0"/>
      <w:marTop w:val="0"/>
      <w:marBottom w:val="0"/>
      <w:divBdr>
        <w:top w:val="none" w:sz="0" w:space="0" w:color="auto"/>
        <w:left w:val="none" w:sz="0" w:space="0" w:color="auto"/>
        <w:bottom w:val="none" w:sz="0" w:space="0" w:color="auto"/>
        <w:right w:val="none" w:sz="0" w:space="0" w:color="auto"/>
      </w:divBdr>
    </w:div>
    <w:div w:id="1007708652">
      <w:bodyDiv w:val="1"/>
      <w:marLeft w:val="0"/>
      <w:marRight w:val="0"/>
      <w:marTop w:val="0"/>
      <w:marBottom w:val="0"/>
      <w:divBdr>
        <w:top w:val="none" w:sz="0" w:space="0" w:color="auto"/>
        <w:left w:val="none" w:sz="0" w:space="0" w:color="auto"/>
        <w:bottom w:val="none" w:sz="0" w:space="0" w:color="auto"/>
        <w:right w:val="none" w:sz="0" w:space="0" w:color="auto"/>
      </w:divBdr>
    </w:div>
    <w:div w:id="1284189938">
      <w:bodyDiv w:val="1"/>
      <w:marLeft w:val="0"/>
      <w:marRight w:val="0"/>
      <w:marTop w:val="0"/>
      <w:marBottom w:val="0"/>
      <w:divBdr>
        <w:top w:val="none" w:sz="0" w:space="0" w:color="auto"/>
        <w:left w:val="none" w:sz="0" w:space="0" w:color="auto"/>
        <w:bottom w:val="none" w:sz="0" w:space="0" w:color="auto"/>
        <w:right w:val="none" w:sz="0" w:space="0" w:color="auto"/>
      </w:divBdr>
    </w:div>
    <w:div w:id="21311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L. Huggins</dc:creator>
  <cp:keywords/>
  <dc:description/>
  <cp:lastModifiedBy>Sherri L. Huggins</cp:lastModifiedBy>
  <cp:revision>1</cp:revision>
  <dcterms:created xsi:type="dcterms:W3CDTF">2021-09-27T11:29:00Z</dcterms:created>
  <dcterms:modified xsi:type="dcterms:W3CDTF">2021-09-27T11:53:00Z</dcterms:modified>
</cp:coreProperties>
</file>