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4BEB" w:rsidRPr="002C429F" w:rsidRDefault="00E74BEB" w:rsidP="00E74BEB">
      <w:pPr>
        <w:jc w:val="center"/>
        <w:rPr>
          <w:b/>
          <w:sz w:val="72"/>
          <w:szCs w:val="72"/>
        </w:rPr>
      </w:pPr>
      <w:bookmarkStart w:id="0" w:name="_GoBack"/>
      <w:bookmarkEnd w:id="0"/>
      <w:r w:rsidRPr="002C429F">
        <w:rPr>
          <w:b/>
          <w:sz w:val="72"/>
          <w:szCs w:val="72"/>
        </w:rPr>
        <w:t>Request for Qualifications</w:t>
      </w:r>
    </w:p>
    <w:p w:rsidR="00E74BEB" w:rsidRPr="002C429F" w:rsidRDefault="00E74BEB" w:rsidP="00E74BEB">
      <w:pPr>
        <w:jc w:val="center"/>
        <w:rPr>
          <w:b/>
          <w:sz w:val="40"/>
          <w:szCs w:val="40"/>
        </w:rPr>
      </w:pPr>
      <w:r w:rsidRPr="002C429F">
        <w:rPr>
          <w:b/>
          <w:sz w:val="40"/>
          <w:szCs w:val="40"/>
        </w:rPr>
        <w:t>City of Canton, Ohio</w:t>
      </w:r>
    </w:p>
    <w:p w:rsidR="00E74BEB" w:rsidRPr="002C429F" w:rsidRDefault="00E74BEB" w:rsidP="00E74BEB">
      <w:pPr>
        <w:jc w:val="center"/>
        <w:rPr>
          <w:sz w:val="36"/>
          <w:szCs w:val="36"/>
        </w:rPr>
      </w:pPr>
      <w:r w:rsidRPr="002C429F">
        <w:rPr>
          <w:sz w:val="36"/>
          <w:szCs w:val="36"/>
        </w:rPr>
        <w:t>Purchasing Department</w:t>
      </w:r>
    </w:p>
    <w:p w:rsidR="00E74BEB" w:rsidRPr="002C429F" w:rsidRDefault="00E74BEB" w:rsidP="00E74BEB">
      <w:pPr>
        <w:jc w:val="center"/>
        <w:rPr>
          <w:sz w:val="36"/>
          <w:szCs w:val="36"/>
        </w:rPr>
      </w:pPr>
      <w:r w:rsidRPr="002C429F">
        <w:rPr>
          <w:sz w:val="36"/>
          <w:szCs w:val="36"/>
        </w:rPr>
        <w:t xml:space="preserve">218 Cleveland Ave. SW, </w:t>
      </w:r>
      <w:r>
        <w:rPr>
          <w:sz w:val="36"/>
          <w:szCs w:val="36"/>
        </w:rPr>
        <w:t>4</w:t>
      </w:r>
      <w:r w:rsidRPr="002C429F">
        <w:rPr>
          <w:sz w:val="36"/>
          <w:szCs w:val="36"/>
          <w:vertAlign w:val="superscript"/>
        </w:rPr>
        <w:t>th</w:t>
      </w:r>
      <w:r w:rsidRPr="002C429F">
        <w:rPr>
          <w:sz w:val="36"/>
          <w:szCs w:val="36"/>
        </w:rPr>
        <w:t xml:space="preserve"> floor</w:t>
      </w:r>
    </w:p>
    <w:p w:rsidR="00E74BEB" w:rsidRPr="002C429F" w:rsidRDefault="00E74BEB" w:rsidP="00E74BEB">
      <w:pPr>
        <w:jc w:val="center"/>
        <w:rPr>
          <w:sz w:val="36"/>
          <w:szCs w:val="36"/>
        </w:rPr>
      </w:pPr>
      <w:r w:rsidRPr="002C429F">
        <w:rPr>
          <w:sz w:val="36"/>
          <w:szCs w:val="36"/>
        </w:rPr>
        <w:t>Canton, Ohio 44702</w:t>
      </w:r>
    </w:p>
    <w:p w:rsidR="00E74BEB" w:rsidRPr="002C429F" w:rsidRDefault="00E74BEB" w:rsidP="00E74BEB">
      <w:pPr>
        <w:rPr>
          <w:sz w:val="32"/>
          <w:szCs w:val="32"/>
        </w:rPr>
      </w:pPr>
    </w:p>
    <w:p w:rsidR="00602642" w:rsidRPr="00E74BEB" w:rsidRDefault="00602642" w:rsidP="00E74BEB">
      <w:pPr>
        <w:pBdr>
          <w:bottom w:val="single" w:sz="6" w:space="1" w:color="auto"/>
        </w:pBdr>
        <w:rPr>
          <w:sz w:val="24"/>
          <w:szCs w:val="24"/>
        </w:rPr>
      </w:pPr>
      <w:r>
        <w:rPr>
          <w:sz w:val="24"/>
          <w:szCs w:val="24"/>
        </w:rPr>
        <w:t xml:space="preserve">Canton </w:t>
      </w:r>
      <w:r w:rsidR="009C291F">
        <w:rPr>
          <w:sz w:val="24"/>
          <w:szCs w:val="24"/>
        </w:rPr>
        <w:t xml:space="preserve">Memorial Civic Center Facility </w:t>
      </w:r>
      <w:r w:rsidR="00857614">
        <w:rPr>
          <w:sz w:val="24"/>
          <w:szCs w:val="24"/>
        </w:rPr>
        <w:t xml:space="preserve">Condition and </w:t>
      </w:r>
      <w:r w:rsidR="009C291F">
        <w:rPr>
          <w:sz w:val="24"/>
          <w:szCs w:val="24"/>
        </w:rPr>
        <w:t>Needs Assessment Study</w:t>
      </w:r>
    </w:p>
    <w:p w:rsidR="00E74BEB" w:rsidRPr="002C429F" w:rsidRDefault="00E74BEB" w:rsidP="00E74BEB">
      <w:pPr>
        <w:rPr>
          <w:b/>
          <w:sz w:val="28"/>
          <w:szCs w:val="28"/>
        </w:rPr>
      </w:pPr>
      <w:r w:rsidRPr="002C429F">
        <w:rPr>
          <w:b/>
          <w:sz w:val="28"/>
          <w:szCs w:val="28"/>
        </w:rPr>
        <w:t>Item/Project</w:t>
      </w:r>
    </w:p>
    <w:p w:rsidR="00E74BEB" w:rsidRPr="002C429F" w:rsidRDefault="00E74BEB" w:rsidP="00E74BEB">
      <w:pPr>
        <w:pBdr>
          <w:bottom w:val="single" w:sz="6" w:space="1" w:color="auto"/>
        </w:pBdr>
        <w:rPr>
          <w:szCs w:val="28"/>
        </w:rPr>
      </w:pPr>
      <w:r>
        <w:rPr>
          <w:szCs w:val="28"/>
        </w:rPr>
        <w:t>Planning</w:t>
      </w:r>
      <w:r w:rsidRPr="002C429F">
        <w:rPr>
          <w:szCs w:val="28"/>
        </w:rPr>
        <w:t xml:space="preserve"> Department</w:t>
      </w:r>
    </w:p>
    <w:p w:rsidR="00E74BEB" w:rsidRPr="002C429F" w:rsidRDefault="00E74BEB" w:rsidP="00E74BEB">
      <w:pPr>
        <w:rPr>
          <w:b/>
          <w:sz w:val="28"/>
          <w:szCs w:val="28"/>
        </w:rPr>
      </w:pPr>
      <w:r w:rsidRPr="002C429F">
        <w:rPr>
          <w:b/>
          <w:sz w:val="28"/>
          <w:szCs w:val="28"/>
        </w:rPr>
        <w:t>Responsible Department</w:t>
      </w:r>
    </w:p>
    <w:p w:rsidR="00E74BEB" w:rsidRPr="00DA4695" w:rsidRDefault="00F94E77" w:rsidP="00E74BEB">
      <w:pPr>
        <w:keepNext/>
        <w:pBdr>
          <w:bottom w:val="single" w:sz="6" w:space="1" w:color="auto"/>
        </w:pBdr>
        <w:outlineLvl w:val="0"/>
        <w:rPr>
          <w:szCs w:val="28"/>
        </w:rPr>
      </w:pPr>
      <w:r w:rsidRPr="00F94E77">
        <w:rPr>
          <w:b/>
          <w:sz w:val="24"/>
          <w:szCs w:val="24"/>
        </w:rPr>
        <w:t>April 4</w:t>
      </w:r>
      <w:r w:rsidR="00D072C1" w:rsidRPr="00581BC6">
        <w:rPr>
          <w:b/>
          <w:sz w:val="24"/>
          <w:szCs w:val="24"/>
        </w:rPr>
        <w:t>, 2022</w:t>
      </w:r>
      <w:r w:rsidR="00DD372F" w:rsidRPr="008A71D2">
        <w:rPr>
          <w:b/>
          <w:szCs w:val="28"/>
        </w:rPr>
        <w:t>,</w:t>
      </w:r>
      <w:r w:rsidR="00DD372F" w:rsidRPr="008A71D2">
        <w:rPr>
          <w:szCs w:val="28"/>
        </w:rPr>
        <w:t xml:space="preserve"> </w:t>
      </w:r>
      <w:r w:rsidR="00DD372F">
        <w:rPr>
          <w:szCs w:val="28"/>
        </w:rPr>
        <w:t>4:00 pm</w:t>
      </w:r>
    </w:p>
    <w:p w:rsidR="00E74BEB" w:rsidRPr="002C429F" w:rsidRDefault="00E74BEB" w:rsidP="00E74BEB">
      <w:pPr>
        <w:rPr>
          <w:b/>
          <w:sz w:val="28"/>
          <w:szCs w:val="28"/>
        </w:rPr>
      </w:pPr>
      <w:r w:rsidRPr="002C429F">
        <w:rPr>
          <w:b/>
          <w:sz w:val="28"/>
          <w:szCs w:val="28"/>
        </w:rPr>
        <w:t>Proposals Due By</w:t>
      </w:r>
    </w:p>
    <w:p w:rsidR="00E74BEB" w:rsidRPr="002C429F" w:rsidRDefault="007535F9" w:rsidP="004412AA">
      <w:pPr>
        <w:jc w:val="center"/>
        <w:rPr>
          <w:b/>
          <w:sz w:val="28"/>
          <w:szCs w:val="28"/>
          <w:u w:val="single"/>
        </w:rPr>
      </w:pPr>
      <w:r>
        <w:rPr>
          <w:b/>
          <w:sz w:val="36"/>
          <w:szCs w:val="36"/>
        </w:rPr>
        <w:t>Qualifications</w:t>
      </w:r>
      <w:r w:rsidR="00E74BEB" w:rsidRPr="002C429F">
        <w:rPr>
          <w:b/>
          <w:sz w:val="36"/>
          <w:szCs w:val="36"/>
        </w:rPr>
        <w:t xml:space="preserve"> Submitted By:</w:t>
      </w:r>
    </w:p>
    <w:p w:rsidR="00E74BEB" w:rsidRPr="002C429F" w:rsidRDefault="00E74BEB" w:rsidP="00E74BEB">
      <w:pPr>
        <w:pBdr>
          <w:bottom w:val="single" w:sz="6" w:space="1" w:color="auto"/>
        </w:pBdr>
        <w:rPr>
          <w:b/>
          <w:sz w:val="28"/>
          <w:szCs w:val="28"/>
          <w:u w:val="single"/>
        </w:rPr>
      </w:pPr>
    </w:p>
    <w:p w:rsidR="00E74BEB" w:rsidRPr="002C429F" w:rsidRDefault="00E74BEB" w:rsidP="00E74BEB">
      <w:pPr>
        <w:rPr>
          <w:b/>
          <w:szCs w:val="24"/>
        </w:rPr>
      </w:pPr>
      <w:r w:rsidRPr="002C429F">
        <w:rPr>
          <w:b/>
          <w:szCs w:val="24"/>
        </w:rPr>
        <w:t xml:space="preserve">Company Name </w:t>
      </w:r>
    </w:p>
    <w:p w:rsidR="00E74BEB" w:rsidRPr="002C429F" w:rsidRDefault="00E74BEB" w:rsidP="00E74BEB">
      <w:pPr>
        <w:rPr>
          <w:b/>
          <w:szCs w:val="24"/>
        </w:rPr>
      </w:pPr>
    </w:p>
    <w:p w:rsidR="00E74BEB" w:rsidRPr="002C429F" w:rsidRDefault="00E74BEB" w:rsidP="00E74BEB">
      <w:pPr>
        <w:pBdr>
          <w:bottom w:val="single" w:sz="6" w:space="1" w:color="auto"/>
        </w:pBdr>
        <w:rPr>
          <w:b/>
          <w:sz w:val="28"/>
          <w:szCs w:val="28"/>
          <w:u w:val="single"/>
        </w:rPr>
      </w:pPr>
    </w:p>
    <w:p w:rsidR="00E74BEB" w:rsidRPr="002C429F" w:rsidRDefault="00E74BEB" w:rsidP="00E74BEB">
      <w:pPr>
        <w:rPr>
          <w:b/>
          <w:szCs w:val="24"/>
        </w:rPr>
      </w:pPr>
      <w:r w:rsidRPr="002C429F">
        <w:rPr>
          <w:b/>
          <w:szCs w:val="24"/>
        </w:rPr>
        <w:t>Street Address</w:t>
      </w:r>
    </w:p>
    <w:p w:rsidR="00E74BEB" w:rsidRPr="002C429F" w:rsidRDefault="00E74BEB" w:rsidP="00E74BEB">
      <w:pPr>
        <w:pBdr>
          <w:bottom w:val="single" w:sz="6" w:space="1" w:color="auto"/>
        </w:pBdr>
        <w:rPr>
          <w:b/>
          <w:sz w:val="28"/>
          <w:szCs w:val="28"/>
          <w:u w:val="single"/>
        </w:rPr>
      </w:pPr>
    </w:p>
    <w:p w:rsidR="00E74BEB" w:rsidRPr="002C429F" w:rsidRDefault="00E74BEB" w:rsidP="00E74BEB">
      <w:pPr>
        <w:pBdr>
          <w:bottom w:val="single" w:sz="6" w:space="1" w:color="auto"/>
        </w:pBdr>
        <w:rPr>
          <w:b/>
          <w:sz w:val="28"/>
          <w:szCs w:val="28"/>
          <w:u w:val="single"/>
        </w:rPr>
      </w:pPr>
    </w:p>
    <w:p w:rsidR="00E74BEB" w:rsidRPr="002C429F" w:rsidRDefault="00E74BEB" w:rsidP="00E74BEB">
      <w:pPr>
        <w:rPr>
          <w:b/>
          <w:szCs w:val="24"/>
        </w:rPr>
      </w:pPr>
      <w:r w:rsidRPr="002C429F">
        <w:rPr>
          <w:b/>
          <w:szCs w:val="24"/>
        </w:rPr>
        <w:t>City</w:t>
      </w:r>
      <w:r w:rsidRPr="002C429F">
        <w:rPr>
          <w:b/>
          <w:szCs w:val="24"/>
        </w:rPr>
        <w:tab/>
      </w:r>
      <w:r w:rsidRPr="002C429F">
        <w:rPr>
          <w:b/>
          <w:szCs w:val="24"/>
        </w:rPr>
        <w:tab/>
        <w:t xml:space="preserve">           </w:t>
      </w:r>
      <w:r w:rsidRPr="002C429F">
        <w:rPr>
          <w:b/>
          <w:szCs w:val="24"/>
        </w:rPr>
        <w:tab/>
      </w:r>
      <w:r w:rsidRPr="002C429F">
        <w:rPr>
          <w:b/>
          <w:szCs w:val="24"/>
        </w:rPr>
        <w:tab/>
      </w:r>
      <w:r w:rsidRPr="002C429F">
        <w:rPr>
          <w:b/>
          <w:szCs w:val="24"/>
        </w:rPr>
        <w:tab/>
      </w:r>
      <w:r w:rsidRPr="002C429F">
        <w:rPr>
          <w:b/>
          <w:szCs w:val="24"/>
        </w:rPr>
        <w:tab/>
      </w:r>
      <w:r w:rsidRPr="002C429F">
        <w:rPr>
          <w:b/>
          <w:szCs w:val="24"/>
        </w:rPr>
        <w:tab/>
      </w:r>
      <w:r w:rsidRPr="002C429F">
        <w:rPr>
          <w:b/>
          <w:szCs w:val="24"/>
        </w:rPr>
        <w:tab/>
        <w:t>State</w:t>
      </w:r>
      <w:r w:rsidRPr="002C429F">
        <w:rPr>
          <w:b/>
          <w:szCs w:val="24"/>
        </w:rPr>
        <w:tab/>
      </w:r>
      <w:r w:rsidRPr="002C429F">
        <w:rPr>
          <w:b/>
          <w:szCs w:val="24"/>
        </w:rPr>
        <w:tab/>
      </w:r>
      <w:r w:rsidRPr="002C429F">
        <w:rPr>
          <w:b/>
          <w:szCs w:val="24"/>
        </w:rPr>
        <w:tab/>
      </w:r>
      <w:r w:rsidRPr="002C429F">
        <w:rPr>
          <w:b/>
          <w:szCs w:val="24"/>
        </w:rPr>
        <w:tab/>
        <w:t xml:space="preserve">     Zip</w:t>
      </w:r>
    </w:p>
    <w:p w:rsidR="00E74BEB" w:rsidRPr="002C429F" w:rsidRDefault="00E74BEB" w:rsidP="00E74BEB">
      <w:pPr>
        <w:pBdr>
          <w:bottom w:val="single" w:sz="6" w:space="1" w:color="auto"/>
        </w:pBdr>
        <w:rPr>
          <w:b/>
          <w:sz w:val="28"/>
          <w:szCs w:val="28"/>
          <w:u w:val="single"/>
        </w:rPr>
      </w:pPr>
    </w:p>
    <w:p w:rsidR="00E74BEB" w:rsidRPr="002C429F" w:rsidRDefault="00E74BEB" w:rsidP="00E74BEB">
      <w:pPr>
        <w:pBdr>
          <w:bottom w:val="single" w:sz="6" w:space="1" w:color="auto"/>
        </w:pBdr>
        <w:rPr>
          <w:b/>
          <w:sz w:val="28"/>
          <w:szCs w:val="28"/>
          <w:u w:val="single"/>
        </w:rPr>
      </w:pPr>
    </w:p>
    <w:p w:rsidR="00E74BEB" w:rsidRDefault="00E74BEB" w:rsidP="00E74BEB">
      <w:pPr>
        <w:jc w:val="center"/>
        <w:rPr>
          <w:b/>
          <w:szCs w:val="24"/>
        </w:rPr>
      </w:pPr>
      <w:r w:rsidRPr="002C429F">
        <w:rPr>
          <w:b/>
          <w:szCs w:val="24"/>
        </w:rPr>
        <w:t>Contact Person</w:t>
      </w:r>
      <w:r w:rsidRPr="002C429F">
        <w:rPr>
          <w:b/>
          <w:szCs w:val="24"/>
        </w:rPr>
        <w:tab/>
      </w:r>
      <w:r w:rsidRPr="002C429F">
        <w:rPr>
          <w:b/>
          <w:szCs w:val="24"/>
        </w:rPr>
        <w:tab/>
        <w:t xml:space="preserve">           </w:t>
      </w:r>
      <w:r w:rsidRPr="002C429F">
        <w:rPr>
          <w:b/>
          <w:szCs w:val="24"/>
        </w:rPr>
        <w:tab/>
        <w:t xml:space="preserve">     Phone No.</w:t>
      </w:r>
      <w:r w:rsidRPr="002C429F">
        <w:rPr>
          <w:b/>
          <w:szCs w:val="24"/>
        </w:rPr>
        <w:tab/>
      </w:r>
      <w:r w:rsidRPr="002C429F">
        <w:rPr>
          <w:b/>
          <w:szCs w:val="24"/>
        </w:rPr>
        <w:tab/>
      </w:r>
      <w:r w:rsidRPr="002C429F">
        <w:rPr>
          <w:b/>
          <w:szCs w:val="24"/>
        </w:rPr>
        <w:tab/>
      </w:r>
      <w:r w:rsidRPr="002C429F">
        <w:rPr>
          <w:b/>
          <w:szCs w:val="24"/>
        </w:rPr>
        <w:tab/>
        <w:t xml:space="preserve">          Email Address</w:t>
      </w:r>
      <w:r>
        <w:rPr>
          <w:b/>
          <w:szCs w:val="24"/>
        </w:rPr>
        <w:br w:type="page"/>
      </w:r>
    </w:p>
    <w:p w:rsidR="00E74BEB" w:rsidRPr="002C429F" w:rsidRDefault="00E74BEB" w:rsidP="00E74BEB">
      <w:pPr>
        <w:jc w:val="center"/>
        <w:rPr>
          <w:b/>
          <w:szCs w:val="24"/>
        </w:rPr>
      </w:pPr>
    </w:p>
    <w:p w:rsidR="00941491" w:rsidRPr="006414D9" w:rsidRDefault="00941491" w:rsidP="00941491">
      <w:pPr>
        <w:spacing w:after="0" w:line="240" w:lineRule="auto"/>
        <w:rPr>
          <w:b/>
          <w:sz w:val="32"/>
          <w:szCs w:val="32"/>
        </w:rPr>
      </w:pPr>
      <w:r w:rsidRPr="006414D9">
        <w:rPr>
          <w:b/>
          <w:sz w:val="32"/>
          <w:szCs w:val="32"/>
        </w:rPr>
        <w:t>City of Canton</w:t>
      </w:r>
    </w:p>
    <w:p w:rsidR="00941491" w:rsidRPr="006414D9" w:rsidRDefault="009C291F" w:rsidP="00941491">
      <w:pPr>
        <w:spacing w:after="0" w:line="240" w:lineRule="auto"/>
        <w:rPr>
          <w:sz w:val="28"/>
          <w:szCs w:val="28"/>
          <w:u w:val="single"/>
        </w:rPr>
      </w:pPr>
      <w:bookmarkStart w:id="1" w:name="_Hlk64451440"/>
      <w:r>
        <w:rPr>
          <w:sz w:val="28"/>
          <w:szCs w:val="28"/>
          <w:u w:val="single"/>
        </w:rPr>
        <w:t>Canton Memorial Civic Center Facility Needs Assessment Study</w:t>
      </w:r>
    </w:p>
    <w:bookmarkEnd w:id="1"/>
    <w:p w:rsidR="00941491" w:rsidRPr="009C1DCB" w:rsidRDefault="00941491" w:rsidP="00941491">
      <w:pPr>
        <w:spacing w:after="0" w:line="240" w:lineRule="auto"/>
        <w:rPr>
          <w:sz w:val="24"/>
          <w:szCs w:val="24"/>
        </w:rPr>
      </w:pPr>
    </w:p>
    <w:p w:rsidR="00941491" w:rsidRDefault="00941491" w:rsidP="00941491">
      <w:pPr>
        <w:spacing w:after="0" w:line="240" w:lineRule="auto"/>
        <w:rPr>
          <w:sz w:val="20"/>
          <w:szCs w:val="20"/>
        </w:rPr>
      </w:pPr>
      <w:r w:rsidRPr="009C1DCB">
        <w:rPr>
          <w:b/>
          <w:sz w:val="48"/>
          <w:szCs w:val="48"/>
        </w:rPr>
        <w:t>Request for Qualifications</w:t>
      </w:r>
    </w:p>
    <w:p w:rsidR="00CE242D" w:rsidRPr="00CE242D" w:rsidRDefault="00CE242D" w:rsidP="00E36D16">
      <w:pPr>
        <w:pStyle w:val="03Heading"/>
        <w:spacing w:before="120" w:after="120" w:line="240" w:lineRule="auto"/>
        <w:rPr>
          <w:b w:val="0"/>
          <w:bCs w:val="0"/>
          <w:sz w:val="24"/>
          <w:szCs w:val="24"/>
        </w:rPr>
      </w:pPr>
      <w:r w:rsidRPr="009C1DCB">
        <w:rPr>
          <w:b w:val="0"/>
          <w:bCs w:val="0"/>
          <w:sz w:val="24"/>
          <w:szCs w:val="24"/>
        </w:rPr>
        <w:t>The City of Canton is seeking a “Request for Qualifications (RF</w:t>
      </w:r>
      <w:r>
        <w:rPr>
          <w:b w:val="0"/>
          <w:bCs w:val="0"/>
          <w:sz w:val="24"/>
          <w:szCs w:val="24"/>
        </w:rPr>
        <w:t>Q)” from qualified firms with strong</w:t>
      </w:r>
      <w:r w:rsidR="00D123F4">
        <w:rPr>
          <w:b w:val="0"/>
          <w:bCs w:val="0"/>
          <w:sz w:val="24"/>
          <w:szCs w:val="24"/>
        </w:rPr>
        <w:t xml:space="preserve"> architectural, engineering, </w:t>
      </w:r>
      <w:r>
        <w:rPr>
          <w:b w:val="0"/>
          <w:bCs w:val="0"/>
          <w:sz w:val="24"/>
          <w:szCs w:val="24"/>
        </w:rPr>
        <w:t xml:space="preserve">interior design </w:t>
      </w:r>
      <w:r w:rsidR="00D123F4">
        <w:rPr>
          <w:b w:val="0"/>
          <w:bCs w:val="0"/>
          <w:sz w:val="24"/>
          <w:szCs w:val="24"/>
        </w:rPr>
        <w:t xml:space="preserve">and facility condition assessment </w:t>
      </w:r>
      <w:r>
        <w:rPr>
          <w:b w:val="0"/>
          <w:bCs w:val="0"/>
          <w:sz w:val="24"/>
          <w:szCs w:val="24"/>
        </w:rPr>
        <w:t xml:space="preserve">expertise to provide professional services for the development of a facility </w:t>
      </w:r>
      <w:r w:rsidR="00D072C1">
        <w:rPr>
          <w:b w:val="0"/>
          <w:bCs w:val="0"/>
          <w:sz w:val="24"/>
          <w:szCs w:val="24"/>
        </w:rPr>
        <w:t xml:space="preserve">Condition and </w:t>
      </w:r>
      <w:r>
        <w:rPr>
          <w:b w:val="0"/>
          <w:bCs w:val="0"/>
          <w:sz w:val="24"/>
          <w:szCs w:val="24"/>
        </w:rPr>
        <w:t>needs assessment study for the Canton Memorial Civic Center</w:t>
      </w:r>
      <w:r w:rsidR="0021377D">
        <w:rPr>
          <w:b w:val="0"/>
          <w:bCs w:val="0"/>
          <w:sz w:val="24"/>
          <w:szCs w:val="24"/>
        </w:rPr>
        <w:t>.</w:t>
      </w:r>
    </w:p>
    <w:p w:rsidR="00BD5E0C" w:rsidRDefault="00BD5E0C" w:rsidP="00E36D16">
      <w:pPr>
        <w:pStyle w:val="03Heading"/>
        <w:spacing w:before="120" w:after="120" w:line="240" w:lineRule="auto"/>
        <w:jc w:val="center"/>
        <w:rPr>
          <w:b w:val="0"/>
          <w:bCs w:val="0"/>
          <w:sz w:val="24"/>
          <w:szCs w:val="24"/>
        </w:rPr>
      </w:pPr>
      <w:r>
        <w:rPr>
          <w:noProof/>
        </w:rPr>
        <w:drawing>
          <wp:inline distT="0" distB="0" distL="0" distR="0" wp14:anchorId="036D7F6B" wp14:editId="674984A1">
            <wp:extent cx="6600825" cy="3686175"/>
            <wp:effectExtent l="0" t="0" r="9525" b="9525"/>
            <wp:docPr id="1" name="Picture 1" descr="The Conton Memorial Civic Center as seen from Market Avenue No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onton Memorial Civic Center as seen from Market Avenue North"/>
                    <pic:cNvPicPr>
                      <a:picLocks noChangeAspect="1" noChangeArrowheads="1"/>
                    </pic:cNvPicPr>
                  </pic:nvPicPr>
                  <pic:blipFill rotWithShape="1">
                    <a:blip r:embed="rId7">
                      <a:extLst>
                        <a:ext uri="{28A0092B-C50C-407E-A947-70E740481C1C}">
                          <a14:useLocalDpi xmlns:a14="http://schemas.microsoft.com/office/drawing/2010/main" val="0"/>
                        </a:ext>
                      </a:extLst>
                    </a:blip>
                    <a:srcRect r="5156" b="5840"/>
                    <a:stretch/>
                  </pic:blipFill>
                  <pic:spPr bwMode="auto">
                    <a:xfrm>
                      <a:off x="0" y="0"/>
                      <a:ext cx="6600825" cy="3686175"/>
                    </a:xfrm>
                    <a:prstGeom prst="rect">
                      <a:avLst/>
                    </a:prstGeom>
                    <a:noFill/>
                    <a:ln>
                      <a:noFill/>
                    </a:ln>
                    <a:extLst>
                      <a:ext uri="{53640926-AAD7-44D8-BBD7-CCE9431645EC}">
                        <a14:shadowObscured xmlns:a14="http://schemas.microsoft.com/office/drawing/2010/main"/>
                      </a:ext>
                    </a:extLst>
                  </pic:spPr>
                </pic:pic>
              </a:graphicData>
            </a:graphic>
          </wp:inline>
        </w:drawing>
      </w:r>
    </w:p>
    <w:p w:rsidR="00E36D16" w:rsidRPr="00E36D16" w:rsidRDefault="00E36D16" w:rsidP="00E36D16">
      <w:pPr>
        <w:autoSpaceDE w:val="0"/>
        <w:autoSpaceDN w:val="0"/>
        <w:adjustRightInd w:val="0"/>
        <w:spacing w:before="120" w:after="0" w:line="240" w:lineRule="auto"/>
        <w:textAlignment w:val="center"/>
        <w:rPr>
          <w:rFonts w:ascii="Calibri" w:hAnsi="Calibri" w:cs="Calibri"/>
          <w:b/>
          <w:color w:val="000000"/>
          <w:sz w:val="40"/>
          <w:szCs w:val="40"/>
        </w:rPr>
      </w:pPr>
      <w:r w:rsidRPr="00E36D16">
        <w:rPr>
          <w:rFonts w:ascii="Calibri" w:hAnsi="Calibri" w:cs="Calibri"/>
          <w:b/>
          <w:color w:val="000000"/>
          <w:sz w:val="40"/>
          <w:szCs w:val="40"/>
        </w:rPr>
        <w:t>Background</w:t>
      </w:r>
    </w:p>
    <w:p w:rsidR="00E36D16" w:rsidRPr="00E36D16" w:rsidRDefault="00E36D16" w:rsidP="00E36D16">
      <w:pPr>
        <w:autoSpaceDE w:val="0"/>
        <w:autoSpaceDN w:val="0"/>
        <w:adjustRightInd w:val="0"/>
        <w:spacing w:before="140" w:after="0" w:line="281" w:lineRule="atLeast"/>
        <w:ind w:left="600" w:hanging="600"/>
        <w:rPr>
          <w:rFonts w:ascii="Calibri" w:hAnsi="Calibri" w:cs="Calibri"/>
          <w:color w:val="000000" w:themeColor="text1"/>
          <w:sz w:val="32"/>
          <w:szCs w:val="32"/>
        </w:rPr>
      </w:pPr>
      <w:r w:rsidRPr="00E36D16">
        <w:rPr>
          <w:rFonts w:ascii="Calibri" w:hAnsi="Calibri" w:cs="Calibri"/>
          <w:b/>
          <w:bCs/>
          <w:color w:val="000000" w:themeColor="text1"/>
          <w:sz w:val="32"/>
          <w:szCs w:val="32"/>
        </w:rPr>
        <w:t>1.1</w:t>
      </w:r>
      <w:r w:rsidRPr="00E36D16">
        <w:rPr>
          <w:rFonts w:ascii="Calibri" w:hAnsi="Calibri" w:cs="Calibri"/>
          <w:b/>
          <w:bCs/>
          <w:color w:val="000000" w:themeColor="text1"/>
          <w:sz w:val="32"/>
          <w:szCs w:val="32"/>
        </w:rPr>
        <w:tab/>
        <w:t xml:space="preserve">Administration </w:t>
      </w:r>
    </w:p>
    <w:p w:rsidR="00E36D16" w:rsidRDefault="00E36D16" w:rsidP="00E36D16">
      <w:pPr>
        <w:autoSpaceDE w:val="0"/>
        <w:autoSpaceDN w:val="0"/>
        <w:adjustRightInd w:val="0"/>
        <w:spacing w:before="140" w:after="0" w:line="181" w:lineRule="atLeast"/>
        <w:rPr>
          <w:rFonts w:ascii="Calibri" w:hAnsi="Calibri" w:cs="Calibri"/>
          <w:color w:val="000000" w:themeColor="text1"/>
          <w:sz w:val="24"/>
          <w:szCs w:val="24"/>
        </w:rPr>
      </w:pPr>
      <w:r w:rsidRPr="00E36D16">
        <w:rPr>
          <w:rFonts w:ascii="Calibri" w:hAnsi="Calibri" w:cs="Calibri"/>
          <w:color w:val="000000" w:themeColor="text1"/>
          <w:sz w:val="24"/>
          <w:szCs w:val="24"/>
        </w:rPr>
        <w:t>The Mayor’s Office, Department of Planning provides leadership towards Canton’s future and is responsible for the Implementa</w:t>
      </w:r>
      <w:r w:rsidRPr="00E36D16">
        <w:rPr>
          <w:rFonts w:ascii="Calibri" w:hAnsi="Calibri" w:cs="Calibri"/>
          <w:color w:val="000000" w:themeColor="text1"/>
          <w:sz w:val="24"/>
          <w:szCs w:val="24"/>
        </w:rPr>
        <w:softHyphen/>
        <w:t>tion of the city’s Comprehensive Plan. The Dire</w:t>
      </w:r>
      <w:r w:rsidR="00D123F4">
        <w:rPr>
          <w:rFonts w:ascii="Calibri" w:hAnsi="Calibri" w:cs="Calibri"/>
          <w:color w:val="000000" w:themeColor="text1"/>
          <w:sz w:val="24"/>
          <w:szCs w:val="24"/>
        </w:rPr>
        <w:t>ctor of Planning will serve as Project M</w:t>
      </w:r>
      <w:r w:rsidRPr="00E36D16">
        <w:rPr>
          <w:rFonts w:ascii="Calibri" w:hAnsi="Calibri" w:cs="Calibri"/>
          <w:color w:val="000000" w:themeColor="text1"/>
          <w:sz w:val="24"/>
          <w:szCs w:val="24"/>
        </w:rPr>
        <w:t xml:space="preserve">anager, and the General Manager of the Canton Memorial Civic Center act as the </w:t>
      </w:r>
      <w:r w:rsidR="00D072C1">
        <w:rPr>
          <w:rFonts w:ascii="Calibri" w:hAnsi="Calibri" w:cs="Calibri"/>
          <w:color w:val="000000" w:themeColor="text1"/>
          <w:sz w:val="24"/>
          <w:szCs w:val="24"/>
        </w:rPr>
        <w:t xml:space="preserve">key </w:t>
      </w:r>
      <w:r w:rsidRPr="00E36D16">
        <w:rPr>
          <w:rFonts w:ascii="Calibri" w:hAnsi="Calibri" w:cs="Calibri"/>
          <w:color w:val="000000" w:themeColor="text1"/>
          <w:sz w:val="24"/>
          <w:szCs w:val="24"/>
        </w:rPr>
        <w:t xml:space="preserve">point of contact for the Consulting Team for the proposed study. </w:t>
      </w:r>
    </w:p>
    <w:p w:rsidR="00D123F4" w:rsidRPr="00E36D16" w:rsidRDefault="00D123F4" w:rsidP="00D123F4">
      <w:pPr>
        <w:autoSpaceDE w:val="0"/>
        <w:autoSpaceDN w:val="0"/>
        <w:adjustRightInd w:val="0"/>
        <w:spacing w:before="144" w:after="0" w:line="288" w:lineRule="auto"/>
        <w:textAlignment w:val="center"/>
        <w:rPr>
          <w:rFonts w:ascii="Calibri" w:hAnsi="Calibri" w:cs="Calibri"/>
          <w:b/>
          <w:bCs/>
          <w:color w:val="000000" w:themeColor="text1"/>
          <w:sz w:val="24"/>
          <w:szCs w:val="24"/>
        </w:rPr>
      </w:pPr>
      <w:r>
        <w:rPr>
          <w:rFonts w:ascii="Calibri" w:hAnsi="Calibri" w:cs="Calibri"/>
          <w:b/>
          <w:bCs/>
          <w:color w:val="000000" w:themeColor="text1"/>
          <w:sz w:val="24"/>
          <w:szCs w:val="24"/>
        </w:rPr>
        <w:t>Partnership</w:t>
      </w:r>
    </w:p>
    <w:p w:rsidR="00D123F4" w:rsidRPr="00E36D16" w:rsidRDefault="00D123F4" w:rsidP="00D123F4">
      <w:pPr>
        <w:autoSpaceDE w:val="0"/>
        <w:autoSpaceDN w:val="0"/>
        <w:adjustRightInd w:val="0"/>
        <w:spacing w:before="140" w:after="0" w:line="181" w:lineRule="atLeast"/>
        <w:rPr>
          <w:rFonts w:ascii="Calibri" w:hAnsi="Calibri" w:cs="Calibri"/>
          <w:color w:val="000000" w:themeColor="text1"/>
          <w:sz w:val="24"/>
          <w:szCs w:val="24"/>
        </w:rPr>
      </w:pPr>
      <w:r>
        <w:rPr>
          <w:rFonts w:ascii="Calibri" w:hAnsi="Calibri" w:cs="Calibri"/>
          <w:color w:val="000000" w:themeColor="text1"/>
          <w:sz w:val="24"/>
          <w:szCs w:val="24"/>
        </w:rPr>
        <w:t xml:space="preserve">Within the City administration, the Project Manager and the General Manager of the Canton Memorial Civic Center will coordinate with </w:t>
      </w:r>
      <w:proofErr w:type="spellStart"/>
      <w:r>
        <w:rPr>
          <w:rFonts w:ascii="Calibri" w:hAnsi="Calibri" w:cs="Calibri"/>
          <w:color w:val="000000" w:themeColor="text1"/>
          <w:sz w:val="24"/>
          <w:szCs w:val="24"/>
        </w:rPr>
        <w:t>ArtsinStark</w:t>
      </w:r>
      <w:proofErr w:type="spellEnd"/>
      <w:r>
        <w:rPr>
          <w:rFonts w:ascii="Calibri" w:hAnsi="Calibri" w:cs="Calibri"/>
          <w:color w:val="000000" w:themeColor="text1"/>
          <w:sz w:val="24"/>
          <w:szCs w:val="24"/>
        </w:rPr>
        <w:t>, who owns and operates the adjacent / connected Cultural Center for the Arts facility.</w:t>
      </w:r>
    </w:p>
    <w:p w:rsidR="00E36D16" w:rsidRPr="00E36D16" w:rsidRDefault="00E36D16" w:rsidP="00E36D16">
      <w:pPr>
        <w:autoSpaceDE w:val="0"/>
        <w:autoSpaceDN w:val="0"/>
        <w:adjustRightInd w:val="0"/>
        <w:spacing w:before="140" w:after="0" w:line="281" w:lineRule="atLeast"/>
        <w:rPr>
          <w:rFonts w:ascii="Calibri" w:hAnsi="Calibri" w:cs="Calibri"/>
          <w:color w:val="000000" w:themeColor="text1"/>
          <w:sz w:val="32"/>
          <w:szCs w:val="32"/>
        </w:rPr>
      </w:pPr>
      <w:r w:rsidRPr="00E36D16">
        <w:rPr>
          <w:rFonts w:ascii="Calibri" w:hAnsi="Calibri" w:cs="Calibri"/>
          <w:b/>
          <w:bCs/>
          <w:color w:val="000000" w:themeColor="text1"/>
          <w:sz w:val="32"/>
          <w:szCs w:val="32"/>
        </w:rPr>
        <w:lastRenderedPageBreak/>
        <w:t>1.2</w:t>
      </w:r>
      <w:r w:rsidRPr="00E36D16">
        <w:rPr>
          <w:rFonts w:ascii="Calibri" w:hAnsi="Calibri" w:cs="Calibri"/>
          <w:b/>
          <w:bCs/>
          <w:color w:val="000000" w:themeColor="text1"/>
          <w:sz w:val="32"/>
          <w:szCs w:val="32"/>
        </w:rPr>
        <w:tab/>
        <w:t xml:space="preserve">Purpose </w:t>
      </w:r>
    </w:p>
    <w:p w:rsidR="00E36D16" w:rsidRPr="00E36D16" w:rsidRDefault="00E36D16" w:rsidP="00E36D16">
      <w:pPr>
        <w:autoSpaceDE w:val="0"/>
        <w:autoSpaceDN w:val="0"/>
        <w:adjustRightInd w:val="0"/>
        <w:spacing w:before="140" w:after="0" w:line="181" w:lineRule="atLeast"/>
        <w:rPr>
          <w:rFonts w:ascii="Calibri" w:hAnsi="Calibri" w:cs="Calibri"/>
          <w:color w:val="000000" w:themeColor="text1"/>
          <w:sz w:val="24"/>
          <w:szCs w:val="24"/>
        </w:rPr>
      </w:pPr>
      <w:r w:rsidRPr="00E36D16">
        <w:rPr>
          <w:rFonts w:ascii="Calibri" w:hAnsi="Calibri" w:cs="Calibri"/>
          <w:color w:val="000000" w:themeColor="text1"/>
          <w:sz w:val="24"/>
          <w:szCs w:val="24"/>
        </w:rPr>
        <w:t>The Canton Memorial Civic Center is a top priority of the City of Canton office of the Mayor. The consulting services sought within this RFP builds upon the trans-formative urban revitalization that has occurred in the past few years since the authoring of the Comprehensive Plan (2016) and the Passage of Issue 13 (2018); a 0.5% levy increase of income tax allocated toward the implementation of the Comprehensive Plan and economic development.</w:t>
      </w:r>
    </w:p>
    <w:p w:rsidR="00E36D16" w:rsidRPr="00E36D16" w:rsidRDefault="00E36D16" w:rsidP="00E36D16">
      <w:pPr>
        <w:autoSpaceDE w:val="0"/>
        <w:autoSpaceDN w:val="0"/>
        <w:adjustRightInd w:val="0"/>
        <w:spacing w:before="144" w:after="0" w:line="242" w:lineRule="atLeast"/>
        <w:textAlignment w:val="center"/>
        <w:rPr>
          <w:rFonts w:cstheme="minorHAnsi"/>
          <w:color w:val="000000" w:themeColor="text1"/>
          <w:sz w:val="24"/>
          <w:szCs w:val="24"/>
          <w:shd w:val="clear" w:color="auto" w:fill="FFFFFF"/>
        </w:rPr>
      </w:pPr>
      <w:r w:rsidRPr="00E36D16">
        <w:rPr>
          <w:rFonts w:cstheme="minorHAnsi"/>
          <w:color w:val="000000" w:themeColor="text1"/>
          <w:sz w:val="24"/>
          <w:szCs w:val="24"/>
          <w:shd w:val="clear" w:color="auto" w:fill="FFFFFF"/>
        </w:rPr>
        <w:t xml:space="preserve">The goal of the facility needs and condition assessment is to fully explore the </w:t>
      </w:r>
      <w:r w:rsidRPr="00E36D16">
        <w:rPr>
          <w:rFonts w:ascii="Calibri" w:hAnsi="Calibri" w:cs="Calibri"/>
          <w:color w:val="000000" w:themeColor="text1"/>
          <w:sz w:val="24"/>
          <w:szCs w:val="24"/>
        </w:rPr>
        <w:t>specific components related to the inventory and analysis, existing facility condition assessment, reconstruction recommendations, capital improvements plan and probable costs.</w:t>
      </w:r>
      <w:r w:rsidRPr="00E36D16">
        <w:rPr>
          <w:rFonts w:cstheme="minorHAnsi"/>
          <w:color w:val="000000" w:themeColor="text1"/>
          <w:sz w:val="24"/>
          <w:szCs w:val="24"/>
          <w:shd w:val="clear" w:color="auto" w:fill="FFFFFF"/>
        </w:rPr>
        <w:t xml:space="preserve">  </w:t>
      </w:r>
    </w:p>
    <w:p w:rsidR="00E36D16" w:rsidRPr="00E36D16" w:rsidRDefault="00E36D16" w:rsidP="00E36D16">
      <w:pPr>
        <w:autoSpaceDE w:val="0"/>
        <w:autoSpaceDN w:val="0"/>
        <w:adjustRightInd w:val="0"/>
        <w:spacing w:before="140" w:after="0" w:line="281" w:lineRule="atLeast"/>
        <w:ind w:left="600" w:hanging="600"/>
        <w:rPr>
          <w:rFonts w:ascii="Calibri" w:hAnsi="Calibri" w:cs="Calibri"/>
          <w:color w:val="000000" w:themeColor="text1"/>
          <w:sz w:val="32"/>
          <w:szCs w:val="32"/>
        </w:rPr>
      </w:pPr>
      <w:r w:rsidRPr="00E36D16">
        <w:rPr>
          <w:rFonts w:ascii="Calibri" w:hAnsi="Calibri" w:cs="Calibri"/>
          <w:b/>
          <w:bCs/>
          <w:color w:val="000000" w:themeColor="text1"/>
          <w:sz w:val="32"/>
          <w:szCs w:val="32"/>
        </w:rPr>
        <w:t>1.3</w:t>
      </w:r>
      <w:r w:rsidRPr="00E36D16">
        <w:rPr>
          <w:rFonts w:ascii="Calibri" w:hAnsi="Calibri" w:cs="Calibri"/>
          <w:b/>
          <w:bCs/>
          <w:color w:val="000000" w:themeColor="text1"/>
          <w:sz w:val="32"/>
          <w:szCs w:val="32"/>
        </w:rPr>
        <w:tab/>
        <w:t xml:space="preserve">Project Study Area </w:t>
      </w:r>
    </w:p>
    <w:p w:rsidR="00D072C1" w:rsidRPr="00E36D16" w:rsidRDefault="00E36D16" w:rsidP="00D072C1">
      <w:pPr>
        <w:autoSpaceDE w:val="0"/>
        <w:autoSpaceDN w:val="0"/>
        <w:adjustRightInd w:val="0"/>
        <w:spacing w:before="140" w:after="0" w:line="181" w:lineRule="atLeast"/>
        <w:rPr>
          <w:rFonts w:ascii="Calibri" w:hAnsi="Calibri" w:cs="Calibri"/>
          <w:color w:val="000000" w:themeColor="text1"/>
          <w:sz w:val="24"/>
          <w:szCs w:val="24"/>
        </w:rPr>
      </w:pPr>
      <w:r w:rsidRPr="00E36D16">
        <w:rPr>
          <w:rFonts w:eastAsia="Times New Roman"/>
          <w:sz w:val="24"/>
          <w:szCs w:val="24"/>
        </w:rPr>
        <w:t>The Canton Memorial Civic Center</w:t>
      </w:r>
      <w:r w:rsidRPr="00E36D16">
        <w:rPr>
          <w:rFonts w:ascii="Calibri" w:hAnsi="Calibri" w:cs="Calibri"/>
          <w:color w:val="000000" w:themeColor="text1"/>
          <w:sz w:val="24"/>
          <w:szCs w:val="24"/>
        </w:rPr>
        <w:t xml:space="preserve"> </w:t>
      </w:r>
      <w:r w:rsidRPr="00E36D16">
        <w:rPr>
          <w:rFonts w:eastAsia="Times New Roman"/>
          <w:color w:val="000000" w:themeColor="text1"/>
          <w:sz w:val="24"/>
          <w:szCs w:val="24"/>
        </w:rPr>
        <w:t>(</w:t>
      </w:r>
      <w:r w:rsidRPr="00E36D16">
        <w:rPr>
          <w:rFonts w:ascii="Calibri" w:hAnsi="Calibri" w:cs="Calibri"/>
          <w:color w:val="000000" w:themeColor="text1"/>
          <w:sz w:val="24"/>
          <w:szCs w:val="24"/>
        </w:rPr>
        <w:t>Parcel #10004949) is located within the Downtown Canton Special Improvement District at 1101 Market Avenue N, Canton, Ohio; within the Center City Planning Area of the 2nd Ward.</w:t>
      </w:r>
      <w:r w:rsidR="00D072C1">
        <w:rPr>
          <w:rFonts w:ascii="Calibri" w:hAnsi="Calibri" w:cs="Calibri"/>
          <w:color w:val="000000" w:themeColor="text1"/>
          <w:sz w:val="24"/>
          <w:szCs w:val="24"/>
        </w:rPr>
        <w:t xml:space="preserve">  </w:t>
      </w:r>
      <w:hyperlink r:id="rId8" w:history="1">
        <w:r w:rsidR="00D072C1" w:rsidRPr="00E36D16">
          <w:rPr>
            <w:i/>
            <w:color w:val="0000FF"/>
            <w:sz w:val="20"/>
            <w:szCs w:val="20"/>
            <w:u w:val="single"/>
          </w:rPr>
          <w:t>https://cantonohio.gov/719/Civic-Center</w:t>
        </w:r>
      </w:hyperlink>
    </w:p>
    <w:p w:rsidR="00E36D16" w:rsidRPr="00E36D16" w:rsidRDefault="00E36D16" w:rsidP="00E36D16">
      <w:pPr>
        <w:autoSpaceDE w:val="0"/>
        <w:autoSpaceDN w:val="0"/>
        <w:adjustRightInd w:val="0"/>
        <w:spacing w:before="140" w:after="0" w:line="181" w:lineRule="atLeast"/>
        <w:rPr>
          <w:rFonts w:ascii="Calibri" w:eastAsia="Times New Roman" w:hAnsi="Calibri" w:cs="Calibri"/>
          <w:sz w:val="24"/>
          <w:szCs w:val="24"/>
        </w:rPr>
      </w:pPr>
      <w:r>
        <w:rPr>
          <w:rFonts w:eastAsia="Times New Roman"/>
          <w:sz w:val="24"/>
          <w:szCs w:val="24"/>
        </w:rPr>
        <w:t xml:space="preserve">The Canton Memorial Civic Center </w:t>
      </w:r>
      <w:r w:rsidRPr="00E36D16">
        <w:rPr>
          <w:rFonts w:eastAsia="Times New Roman"/>
          <w:sz w:val="24"/>
          <w:szCs w:val="24"/>
        </w:rPr>
        <w:t>is a multi-purpose </w:t>
      </w:r>
      <w:hyperlink r:id="rId9" w:tooltip="Arena" w:history="1">
        <w:r w:rsidRPr="00E36D16">
          <w:rPr>
            <w:rFonts w:eastAsia="Times New Roman"/>
            <w:sz w:val="24"/>
            <w:szCs w:val="24"/>
          </w:rPr>
          <w:t>arena</w:t>
        </w:r>
      </w:hyperlink>
      <w:r w:rsidRPr="00E36D16">
        <w:rPr>
          <w:rFonts w:eastAsia="Times New Roman"/>
          <w:sz w:val="24"/>
          <w:szCs w:val="24"/>
        </w:rPr>
        <w:t xml:space="preserve"> built in 1951, owned by the </w:t>
      </w:r>
      <w:hyperlink r:id="rId10" w:tooltip="Canton, Ohio" w:history="1">
        <w:r w:rsidRPr="00E36D16">
          <w:rPr>
            <w:rFonts w:eastAsia="Times New Roman"/>
            <w:sz w:val="24"/>
            <w:szCs w:val="24"/>
          </w:rPr>
          <w:t>City of Canton</w:t>
        </w:r>
      </w:hyperlink>
      <w:r w:rsidRPr="00E36D16">
        <w:rPr>
          <w:rFonts w:eastAsia="Times New Roman"/>
          <w:sz w:val="24"/>
          <w:szCs w:val="24"/>
        </w:rPr>
        <w:t> and operated by </w:t>
      </w:r>
      <w:hyperlink r:id="rId11" w:tooltip="ASM Global (property management) (page does not exist)" w:history="1">
        <w:r w:rsidRPr="00E36D16">
          <w:rPr>
            <w:rFonts w:eastAsia="Times New Roman"/>
            <w:sz w:val="24"/>
            <w:szCs w:val="24"/>
          </w:rPr>
          <w:t>ASM Global</w:t>
        </w:r>
      </w:hyperlink>
      <w:r w:rsidRPr="00E36D16">
        <w:rPr>
          <w:rFonts w:eastAsia="Times New Roman"/>
          <w:sz w:val="24"/>
          <w:szCs w:val="24"/>
        </w:rPr>
        <w:t xml:space="preserve"> (SMG); providing management responsibilities, including operations and marketing services. The current capacity of the facility is 5,200 in the arena, and up to 600 in the McKinley multi-purpose Room.</w:t>
      </w:r>
      <w:r w:rsidRPr="00E36D16">
        <w:rPr>
          <w:rFonts w:ascii="Calibri" w:hAnsi="Calibri" w:cs="Calibri"/>
          <w:color w:val="FF0000"/>
          <w:sz w:val="24"/>
          <w:szCs w:val="24"/>
        </w:rPr>
        <w:t xml:space="preserve"> </w:t>
      </w:r>
      <w:r w:rsidRPr="00E36D16">
        <w:rPr>
          <w:rFonts w:ascii="Calibri" w:eastAsia="Times New Roman" w:hAnsi="Calibri" w:cs="Calibri"/>
          <w:sz w:val="24"/>
          <w:szCs w:val="24"/>
        </w:rPr>
        <w:t>The facility employs approximately 5 people and has over the years hosted concerts, professional wrestling, political rallies, family shows, Covid-19 vaccination clinics, and a number of annual </w:t>
      </w:r>
      <w:hyperlink r:id="rId12" w:tooltip="Pro Football Hall of Fame" w:history="1">
        <w:r w:rsidRPr="00E36D16">
          <w:rPr>
            <w:rFonts w:ascii="Calibri" w:eastAsia="Times New Roman" w:hAnsi="Calibri" w:cs="Calibri"/>
            <w:sz w:val="24"/>
            <w:szCs w:val="24"/>
          </w:rPr>
          <w:t>Pro Football Hall of Fame</w:t>
        </w:r>
      </w:hyperlink>
      <w:r w:rsidRPr="00E36D16">
        <w:rPr>
          <w:rFonts w:ascii="Calibri" w:eastAsia="Times New Roman" w:hAnsi="Calibri" w:cs="Calibri"/>
          <w:sz w:val="24"/>
          <w:szCs w:val="24"/>
        </w:rPr>
        <w:t xml:space="preserve"> festival events; generating approximately $665,000 annually.  </w:t>
      </w:r>
    </w:p>
    <w:p w:rsidR="00E36D16" w:rsidRPr="00E36D16" w:rsidRDefault="00E36D16" w:rsidP="00E36D16">
      <w:pPr>
        <w:autoSpaceDE w:val="0"/>
        <w:autoSpaceDN w:val="0"/>
        <w:adjustRightInd w:val="0"/>
        <w:spacing w:before="120" w:after="0" w:line="240" w:lineRule="auto"/>
        <w:textAlignment w:val="center"/>
        <w:rPr>
          <w:rFonts w:ascii="Calibri" w:hAnsi="Calibri" w:cs="Calibri"/>
          <w:b/>
          <w:color w:val="000000"/>
          <w:sz w:val="40"/>
          <w:szCs w:val="40"/>
        </w:rPr>
      </w:pPr>
      <w:r w:rsidRPr="00E36D16">
        <w:rPr>
          <w:rFonts w:ascii="Calibri" w:hAnsi="Calibri" w:cs="Calibri"/>
          <w:b/>
          <w:color w:val="000000"/>
          <w:sz w:val="40"/>
          <w:szCs w:val="40"/>
        </w:rPr>
        <w:t>Description</w:t>
      </w:r>
    </w:p>
    <w:p w:rsidR="00E36D16" w:rsidRPr="00E36D16" w:rsidRDefault="00E36D16" w:rsidP="00E36D16">
      <w:pPr>
        <w:autoSpaceDE w:val="0"/>
        <w:autoSpaceDN w:val="0"/>
        <w:adjustRightInd w:val="0"/>
        <w:spacing w:before="140" w:after="0" w:line="281" w:lineRule="atLeast"/>
        <w:ind w:left="600" w:hanging="600"/>
        <w:rPr>
          <w:rFonts w:ascii="Calibri" w:hAnsi="Calibri" w:cs="Calibri"/>
          <w:color w:val="000000" w:themeColor="text1"/>
          <w:sz w:val="32"/>
          <w:szCs w:val="32"/>
        </w:rPr>
      </w:pPr>
      <w:r w:rsidRPr="00E36D16">
        <w:rPr>
          <w:rFonts w:ascii="Calibri" w:hAnsi="Calibri" w:cs="Calibri"/>
          <w:b/>
          <w:bCs/>
          <w:color w:val="000000" w:themeColor="text1"/>
          <w:sz w:val="32"/>
          <w:szCs w:val="32"/>
        </w:rPr>
        <w:t>2.1</w:t>
      </w:r>
      <w:r w:rsidRPr="00E36D16">
        <w:rPr>
          <w:rFonts w:ascii="Calibri" w:hAnsi="Calibri" w:cs="Calibri"/>
          <w:b/>
          <w:bCs/>
          <w:color w:val="000000" w:themeColor="text1"/>
          <w:sz w:val="32"/>
          <w:szCs w:val="32"/>
        </w:rPr>
        <w:tab/>
        <w:t xml:space="preserve">Scope of Services </w:t>
      </w:r>
    </w:p>
    <w:p w:rsidR="00E36D16" w:rsidRPr="00E36D16" w:rsidRDefault="00D072C1" w:rsidP="00E36D16">
      <w:pPr>
        <w:autoSpaceDE w:val="0"/>
        <w:autoSpaceDN w:val="0"/>
        <w:adjustRightInd w:val="0"/>
        <w:spacing w:before="120" w:after="120" w:line="181" w:lineRule="atLeast"/>
        <w:rPr>
          <w:rFonts w:ascii="Calibri" w:hAnsi="Calibri" w:cs="Calibri"/>
          <w:color w:val="FF0000"/>
          <w:sz w:val="24"/>
          <w:szCs w:val="24"/>
        </w:rPr>
      </w:pPr>
      <w:r w:rsidRPr="00D072C1">
        <w:rPr>
          <w:rFonts w:cstheme="minorHAnsi"/>
          <w:sz w:val="24"/>
          <w:szCs w:val="24"/>
        </w:rPr>
        <w:t>The Consultant Team/Firm(s)</w:t>
      </w:r>
      <w:r w:rsidR="00E36D16" w:rsidRPr="00E36D16">
        <w:rPr>
          <w:rFonts w:ascii="Calibri" w:hAnsi="Calibri" w:cs="Calibri"/>
          <w:sz w:val="24"/>
          <w:szCs w:val="24"/>
        </w:rPr>
        <w:t xml:space="preserve"> </w:t>
      </w:r>
      <w:r w:rsidR="00E36D16" w:rsidRPr="00E36D16">
        <w:rPr>
          <w:rFonts w:ascii="Calibri" w:hAnsi="Calibri" w:cs="Calibri"/>
          <w:color w:val="000000" w:themeColor="text1"/>
          <w:sz w:val="24"/>
          <w:szCs w:val="24"/>
        </w:rPr>
        <w:t xml:space="preserve">shall provide consulting services </w:t>
      </w:r>
      <w:r w:rsidR="00E36D16" w:rsidRPr="00E36D16">
        <w:t xml:space="preserve">for a comprehensive facility condition and needs and assessment. Required criteria shall include, but are not limited to: </w:t>
      </w:r>
    </w:p>
    <w:p w:rsidR="00E36D16" w:rsidRPr="00E36D16" w:rsidRDefault="00E36D16" w:rsidP="00E36D16">
      <w:pPr>
        <w:numPr>
          <w:ilvl w:val="0"/>
          <w:numId w:val="27"/>
        </w:numPr>
        <w:autoSpaceDE w:val="0"/>
        <w:autoSpaceDN w:val="0"/>
        <w:adjustRightInd w:val="0"/>
        <w:spacing w:after="0" w:line="240" w:lineRule="auto"/>
        <w:rPr>
          <w:rFonts w:ascii="Calibri" w:hAnsi="Calibri" w:cs="Calibri"/>
          <w:color w:val="000000" w:themeColor="text1"/>
          <w:sz w:val="24"/>
          <w:szCs w:val="24"/>
        </w:rPr>
      </w:pPr>
      <w:r w:rsidRPr="00E36D16">
        <w:rPr>
          <w:rFonts w:ascii="Calibri" w:hAnsi="Calibri" w:cs="Calibri"/>
          <w:color w:val="000000" w:themeColor="text1"/>
          <w:sz w:val="24"/>
          <w:szCs w:val="24"/>
        </w:rPr>
        <w:t xml:space="preserve">Identifying and documenting current facility conditions and deficiencies to include Americans with Disabilities Act (ADA) deficiencies; </w:t>
      </w:r>
    </w:p>
    <w:p w:rsidR="00E36D16" w:rsidRPr="00E36D16" w:rsidRDefault="00E36D16" w:rsidP="00E36D16">
      <w:pPr>
        <w:numPr>
          <w:ilvl w:val="0"/>
          <w:numId w:val="27"/>
        </w:numPr>
        <w:autoSpaceDE w:val="0"/>
        <w:autoSpaceDN w:val="0"/>
        <w:adjustRightInd w:val="0"/>
        <w:spacing w:after="22" w:line="240" w:lineRule="auto"/>
        <w:rPr>
          <w:rFonts w:ascii="Calibri" w:hAnsi="Calibri" w:cs="Calibri"/>
          <w:color w:val="000000" w:themeColor="text1"/>
          <w:sz w:val="24"/>
          <w:szCs w:val="24"/>
        </w:rPr>
      </w:pPr>
      <w:r w:rsidRPr="00E36D16">
        <w:rPr>
          <w:rFonts w:ascii="Calibri" w:hAnsi="Calibri" w:cs="Calibri"/>
          <w:color w:val="000000" w:themeColor="text1"/>
          <w:sz w:val="24"/>
          <w:szCs w:val="24"/>
        </w:rPr>
        <w:t xml:space="preserve">Recommending corrections for all deficiencies; </w:t>
      </w:r>
    </w:p>
    <w:p w:rsidR="00E36D16" w:rsidRPr="00E36D16" w:rsidRDefault="00E36D16" w:rsidP="00E36D16">
      <w:pPr>
        <w:numPr>
          <w:ilvl w:val="0"/>
          <w:numId w:val="27"/>
        </w:numPr>
        <w:autoSpaceDE w:val="0"/>
        <w:autoSpaceDN w:val="0"/>
        <w:adjustRightInd w:val="0"/>
        <w:spacing w:after="22" w:line="240" w:lineRule="auto"/>
        <w:rPr>
          <w:rFonts w:ascii="Calibri" w:hAnsi="Calibri" w:cs="Calibri"/>
          <w:color w:val="000000" w:themeColor="text1"/>
          <w:sz w:val="24"/>
          <w:szCs w:val="24"/>
        </w:rPr>
      </w:pPr>
      <w:r w:rsidRPr="00E36D16">
        <w:rPr>
          <w:rFonts w:ascii="Calibri" w:hAnsi="Calibri" w:cs="Calibri"/>
          <w:color w:val="000000" w:themeColor="text1"/>
          <w:sz w:val="24"/>
          <w:szCs w:val="24"/>
        </w:rPr>
        <w:t>Providing cost estimates for corrections;</w:t>
      </w:r>
    </w:p>
    <w:p w:rsidR="00E36D16" w:rsidRPr="00E36D16" w:rsidRDefault="00E36D16" w:rsidP="00E36D16">
      <w:pPr>
        <w:numPr>
          <w:ilvl w:val="0"/>
          <w:numId w:val="27"/>
        </w:numPr>
        <w:autoSpaceDE w:val="0"/>
        <w:autoSpaceDN w:val="0"/>
        <w:adjustRightInd w:val="0"/>
        <w:spacing w:after="0" w:line="240" w:lineRule="auto"/>
        <w:rPr>
          <w:rFonts w:ascii="Calibri" w:hAnsi="Calibri" w:cs="Calibri"/>
          <w:color w:val="000000" w:themeColor="text1"/>
          <w:sz w:val="24"/>
          <w:szCs w:val="24"/>
        </w:rPr>
      </w:pPr>
      <w:r w:rsidRPr="00E36D16">
        <w:rPr>
          <w:rFonts w:ascii="Calibri" w:hAnsi="Calibri" w:cs="Calibri"/>
          <w:color w:val="000000" w:themeColor="text1"/>
          <w:sz w:val="24"/>
          <w:szCs w:val="24"/>
        </w:rPr>
        <w:t xml:space="preserve">Reconstruction </w:t>
      </w:r>
      <w:r w:rsidRPr="00E36D16">
        <w:rPr>
          <w:rFonts w:cstheme="minorHAnsi"/>
          <w:color w:val="000000" w:themeColor="text1"/>
          <w:sz w:val="24"/>
          <w:szCs w:val="24"/>
          <w:shd w:val="clear" w:color="auto" w:fill="FFFFFF"/>
        </w:rPr>
        <w:t>recommendations to modernize the overall experience including but not limited to ticketing, public seating, gathering spaces, rigging and exterior architectural aesthetics;</w:t>
      </w:r>
    </w:p>
    <w:p w:rsidR="00E36D16" w:rsidRPr="00E36D16" w:rsidRDefault="00E36D16" w:rsidP="00E36D16">
      <w:pPr>
        <w:numPr>
          <w:ilvl w:val="0"/>
          <w:numId w:val="27"/>
        </w:numPr>
        <w:autoSpaceDE w:val="0"/>
        <w:autoSpaceDN w:val="0"/>
        <w:adjustRightInd w:val="0"/>
        <w:spacing w:after="22" w:line="240" w:lineRule="auto"/>
        <w:rPr>
          <w:rFonts w:ascii="Calibri" w:hAnsi="Calibri" w:cs="Calibri"/>
          <w:color w:val="000000" w:themeColor="text1"/>
          <w:sz w:val="24"/>
          <w:szCs w:val="24"/>
        </w:rPr>
      </w:pPr>
      <w:r w:rsidRPr="00E36D16">
        <w:rPr>
          <w:rFonts w:ascii="Calibri" w:hAnsi="Calibri" w:cs="Calibri"/>
          <w:color w:val="000000" w:themeColor="text1"/>
          <w:sz w:val="24"/>
          <w:szCs w:val="24"/>
        </w:rPr>
        <w:t xml:space="preserve">Forecasting potential future facility reconstruction/modernization costs; </w:t>
      </w:r>
    </w:p>
    <w:p w:rsidR="00E36D16" w:rsidRPr="00E36D16" w:rsidRDefault="00E36D16" w:rsidP="00E36D16">
      <w:pPr>
        <w:numPr>
          <w:ilvl w:val="0"/>
          <w:numId w:val="27"/>
        </w:numPr>
        <w:autoSpaceDE w:val="0"/>
        <w:autoSpaceDN w:val="0"/>
        <w:adjustRightInd w:val="0"/>
        <w:spacing w:after="22" w:line="240" w:lineRule="auto"/>
        <w:rPr>
          <w:rFonts w:ascii="Calibri" w:hAnsi="Calibri" w:cs="Calibri"/>
          <w:color w:val="000000" w:themeColor="text1"/>
          <w:sz w:val="24"/>
          <w:szCs w:val="24"/>
        </w:rPr>
      </w:pPr>
      <w:r w:rsidRPr="00E36D16">
        <w:rPr>
          <w:rFonts w:ascii="Calibri" w:hAnsi="Calibri" w:cs="Calibri"/>
          <w:color w:val="000000" w:themeColor="text1"/>
          <w:sz w:val="24"/>
          <w:szCs w:val="24"/>
        </w:rPr>
        <w:t>Assessment of level of perceived maintenance effort versus industry standards; and,</w:t>
      </w:r>
    </w:p>
    <w:p w:rsidR="00E36D16" w:rsidRPr="00E36D16" w:rsidRDefault="00E36D16" w:rsidP="00E36D16">
      <w:pPr>
        <w:numPr>
          <w:ilvl w:val="0"/>
          <w:numId w:val="27"/>
        </w:numPr>
        <w:autoSpaceDE w:val="0"/>
        <w:autoSpaceDN w:val="0"/>
        <w:adjustRightInd w:val="0"/>
        <w:spacing w:after="22" w:line="240" w:lineRule="auto"/>
        <w:rPr>
          <w:rFonts w:ascii="Calibri" w:hAnsi="Calibri" w:cs="Calibri"/>
          <w:color w:val="000000" w:themeColor="text1"/>
          <w:sz w:val="24"/>
          <w:szCs w:val="24"/>
        </w:rPr>
      </w:pPr>
      <w:r w:rsidRPr="00E36D16">
        <w:rPr>
          <w:rFonts w:ascii="Calibri" w:hAnsi="Calibri" w:cs="Calibri"/>
          <w:color w:val="000000" w:themeColor="text1"/>
          <w:sz w:val="24"/>
          <w:szCs w:val="24"/>
        </w:rPr>
        <w:t xml:space="preserve">Preventative maintenance recommendations to include minimum standards of day-to-day upkeep and associated costs based on industry standards. </w:t>
      </w:r>
    </w:p>
    <w:p w:rsidR="00E36D16" w:rsidRPr="00E36D16" w:rsidRDefault="00E36D16" w:rsidP="00E36D16">
      <w:pPr>
        <w:tabs>
          <w:tab w:val="left" w:pos="620"/>
        </w:tabs>
        <w:suppressAutoHyphens/>
        <w:autoSpaceDE w:val="0"/>
        <w:autoSpaceDN w:val="0"/>
        <w:adjustRightInd w:val="0"/>
        <w:spacing w:before="144" w:after="0" w:line="280" w:lineRule="atLeast"/>
        <w:ind w:left="600" w:hanging="600"/>
        <w:textAlignment w:val="center"/>
        <w:rPr>
          <w:rFonts w:ascii="Calibri" w:hAnsi="Calibri" w:cs="Calibri"/>
          <w:b/>
          <w:bCs/>
          <w:color w:val="000000" w:themeColor="text1"/>
          <w:sz w:val="32"/>
          <w:szCs w:val="32"/>
        </w:rPr>
      </w:pPr>
      <w:r w:rsidRPr="00E36D16">
        <w:rPr>
          <w:rFonts w:ascii="Calibri" w:hAnsi="Calibri" w:cs="Calibri"/>
          <w:b/>
          <w:bCs/>
          <w:color w:val="000000" w:themeColor="text1"/>
          <w:sz w:val="32"/>
          <w:szCs w:val="32"/>
        </w:rPr>
        <w:t>2.2</w:t>
      </w:r>
      <w:r w:rsidRPr="00E36D16">
        <w:rPr>
          <w:rFonts w:ascii="Calibri" w:hAnsi="Calibri" w:cs="Calibri"/>
          <w:b/>
          <w:bCs/>
          <w:color w:val="000000" w:themeColor="text1"/>
          <w:sz w:val="32"/>
          <w:szCs w:val="32"/>
        </w:rPr>
        <w:tab/>
        <w:t>Study Deliverables</w:t>
      </w:r>
    </w:p>
    <w:p w:rsidR="00E36D16" w:rsidRPr="00E36D16" w:rsidRDefault="00E36D16" w:rsidP="00E36D16">
      <w:pPr>
        <w:autoSpaceDE w:val="0"/>
        <w:autoSpaceDN w:val="0"/>
        <w:adjustRightInd w:val="0"/>
        <w:spacing w:before="144" w:after="0" w:line="242" w:lineRule="atLeast"/>
        <w:textAlignment w:val="center"/>
        <w:rPr>
          <w:rFonts w:ascii="Calibri" w:hAnsi="Calibri" w:cs="Calibri"/>
          <w:color w:val="000000" w:themeColor="text1"/>
          <w:sz w:val="24"/>
          <w:szCs w:val="24"/>
        </w:rPr>
      </w:pPr>
      <w:r w:rsidRPr="00E36D16">
        <w:rPr>
          <w:rFonts w:ascii="Calibri" w:hAnsi="Calibri" w:cs="Calibri"/>
          <w:color w:val="000000" w:themeColor="text1"/>
          <w:sz w:val="24"/>
          <w:szCs w:val="24"/>
        </w:rPr>
        <w:t xml:space="preserve">The </w:t>
      </w:r>
      <w:r w:rsidRPr="00E36D16">
        <w:rPr>
          <w:rFonts w:cstheme="minorHAnsi"/>
          <w:color w:val="000000" w:themeColor="text1"/>
          <w:sz w:val="24"/>
          <w:szCs w:val="24"/>
        </w:rPr>
        <w:t>Consultant Team/Firm(s)</w:t>
      </w:r>
      <w:r w:rsidRPr="00E36D16">
        <w:rPr>
          <w:rFonts w:ascii="Calibri" w:hAnsi="Calibri" w:cs="Calibri"/>
          <w:color w:val="000000" w:themeColor="text1"/>
          <w:sz w:val="24"/>
          <w:szCs w:val="24"/>
        </w:rPr>
        <w:t xml:space="preserve"> will be expected to submit a final document that meets the purpose, goals and scope of services; and serves as:</w:t>
      </w:r>
    </w:p>
    <w:p w:rsidR="00E36D16" w:rsidRPr="00E36D16" w:rsidRDefault="00E36D16" w:rsidP="00E36D16">
      <w:pPr>
        <w:numPr>
          <w:ilvl w:val="0"/>
          <w:numId w:val="26"/>
        </w:numPr>
        <w:autoSpaceDE w:val="0"/>
        <w:autoSpaceDN w:val="0"/>
        <w:adjustRightInd w:val="0"/>
        <w:spacing w:after="0" w:line="242" w:lineRule="atLeast"/>
        <w:contextualSpacing/>
        <w:textAlignment w:val="center"/>
        <w:rPr>
          <w:rFonts w:ascii="Calibri" w:hAnsi="Calibri" w:cs="Calibri"/>
          <w:color w:val="000000" w:themeColor="text1"/>
          <w:sz w:val="24"/>
          <w:szCs w:val="24"/>
        </w:rPr>
      </w:pPr>
      <w:r w:rsidRPr="00E36D16">
        <w:rPr>
          <w:rFonts w:ascii="Calibri" w:hAnsi="Calibri" w:cs="Calibri"/>
          <w:color w:val="000000" w:themeColor="text1"/>
          <w:sz w:val="24"/>
          <w:szCs w:val="24"/>
        </w:rPr>
        <w:t>A vision for the Canton Memorial Civic Center;</w:t>
      </w:r>
    </w:p>
    <w:p w:rsidR="00E36D16" w:rsidRPr="00E36D16" w:rsidRDefault="00E36D16" w:rsidP="00E36D16">
      <w:pPr>
        <w:numPr>
          <w:ilvl w:val="0"/>
          <w:numId w:val="26"/>
        </w:numPr>
        <w:autoSpaceDE w:val="0"/>
        <w:autoSpaceDN w:val="0"/>
        <w:adjustRightInd w:val="0"/>
        <w:spacing w:after="0" w:line="242" w:lineRule="atLeast"/>
        <w:contextualSpacing/>
        <w:textAlignment w:val="center"/>
        <w:rPr>
          <w:rFonts w:ascii="Calibri" w:hAnsi="Calibri" w:cs="Calibri"/>
          <w:color w:val="000000" w:themeColor="text1"/>
          <w:sz w:val="24"/>
          <w:szCs w:val="24"/>
        </w:rPr>
      </w:pPr>
      <w:r w:rsidRPr="00E36D16">
        <w:rPr>
          <w:rFonts w:ascii="Calibri" w:hAnsi="Calibri" w:cs="Calibri"/>
          <w:color w:val="000000" w:themeColor="text1"/>
          <w:sz w:val="24"/>
          <w:szCs w:val="24"/>
        </w:rPr>
        <w:t>A guiding document and action plan;</w:t>
      </w:r>
    </w:p>
    <w:p w:rsidR="00E36D16" w:rsidRPr="00E36D16" w:rsidRDefault="00E36D16" w:rsidP="00E36D16">
      <w:pPr>
        <w:numPr>
          <w:ilvl w:val="0"/>
          <w:numId w:val="26"/>
        </w:numPr>
        <w:autoSpaceDE w:val="0"/>
        <w:autoSpaceDN w:val="0"/>
        <w:adjustRightInd w:val="0"/>
        <w:spacing w:after="0" w:line="242" w:lineRule="atLeast"/>
        <w:contextualSpacing/>
        <w:textAlignment w:val="center"/>
        <w:rPr>
          <w:rFonts w:ascii="Calibri" w:hAnsi="Calibri" w:cs="Calibri"/>
          <w:color w:val="000000" w:themeColor="text1"/>
          <w:sz w:val="24"/>
          <w:szCs w:val="24"/>
        </w:rPr>
      </w:pPr>
      <w:r w:rsidRPr="00E36D16">
        <w:rPr>
          <w:rFonts w:ascii="Calibri" w:hAnsi="Calibri" w:cs="Calibri"/>
          <w:color w:val="000000" w:themeColor="text1"/>
          <w:sz w:val="24"/>
          <w:szCs w:val="24"/>
        </w:rPr>
        <w:t>A road-map for implementing the vision;</w:t>
      </w:r>
    </w:p>
    <w:p w:rsidR="00E36D16" w:rsidRPr="00E36D16" w:rsidRDefault="00E36D16" w:rsidP="00E36D16">
      <w:pPr>
        <w:numPr>
          <w:ilvl w:val="0"/>
          <w:numId w:val="26"/>
        </w:numPr>
        <w:autoSpaceDE w:val="0"/>
        <w:autoSpaceDN w:val="0"/>
        <w:adjustRightInd w:val="0"/>
        <w:spacing w:after="0" w:line="242" w:lineRule="atLeast"/>
        <w:contextualSpacing/>
        <w:textAlignment w:val="center"/>
        <w:rPr>
          <w:rFonts w:ascii="Calibri" w:hAnsi="Calibri" w:cs="Calibri"/>
          <w:color w:val="000000" w:themeColor="text1"/>
          <w:sz w:val="24"/>
          <w:szCs w:val="24"/>
        </w:rPr>
      </w:pPr>
      <w:r w:rsidRPr="00E36D16">
        <w:rPr>
          <w:rFonts w:ascii="Calibri" w:hAnsi="Calibri" w:cs="Calibri"/>
          <w:color w:val="000000" w:themeColor="text1"/>
          <w:sz w:val="24"/>
          <w:szCs w:val="24"/>
        </w:rPr>
        <w:lastRenderedPageBreak/>
        <w:t>A series of Illustrative renderings; and,</w:t>
      </w:r>
    </w:p>
    <w:p w:rsidR="00E36D16" w:rsidRPr="00E36D16" w:rsidRDefault="00E36D16" w:rsidP="00E36D16">
      <w:pPr>
        <w:numPr>
          <w:ilvl w:val="0"/>
          <w:numId w:val="26"/>
        </w:numPr>
        <w:autoSpaceDE w:val="0"/>
        <w:autoSpaceDN w:val="0"/>
        <w:adjustRightInd w:val="0"/>
        <w:spacing w:after="0" w:line="242" w:lineRule="atLeast"/>
        <w:contextualSpacing/>
        <w:textAlignment w:val="center"/>
        <w:rPr>
          <w:rFonts w:ascii="Calibri" w:hAnsi="Calibri" w:cs="Calibri"/>
          <w:color w:val="000000" w:themeColor="text1"/>
          <w:sz w:val="24"/>
          <w:szCs w:val="24"/>
        </w:rPr>
      </w:pPr>
      <w:r w:rsidRPr="00E36D16">
        <w:rPr>
          <w:rFonts w:ascii="Calibri" w:hAnsi="Calibri" w:cs="Calibri"/>
          <w:color w:val="000000" w:themeColor="text1"/>
          <w:sz w:val="24"/>
          <w:szCs w:val="24"/>
        </w:rPr>
        <w:t>A definitive reference tool.</w:t>
      </w:r>
    </w:p>
    <w:p w:rsidR="00E36D16" w:rsidRPr="00E36D16" w:rsidRDefault="00E36D16" w:rsidP="00E36D16">
      <w:pPr>
        <w:autoSpaceDE w:val="0"/>
        <w:autoSpaceDN w:val="0"/>
        <w:adjustRightInd w:val="0"/>
        <w:spacing w:before="144" w:after="0" w:line="288" w:lineRule="auto"/>
        <w:textAlignment w:val="center"/>
        <w:rPr>
          <w:rFonts w:ascii="Calibri" w:hAnsi="Calibri" w:cs="Calibri"/>
          <w:b/>
          <w:bCs/>
          <w:color w:val="000000" w:themeColor="text1"/>
          <w:sz w:val="24"/>
          <w:szCs w:val="24"/>
        </w:rPr>
      </w:pPr>
      <w:r w:rsidRPr="00E36D16">
        <w:rPr>
          <w:rFonts w:ascii="Calibri" w:hAnsi="Calibri" w:cs="Calibri"/>
          <w:b/>
          <w:bCs/>
          <w:color w:val="000000" w:themeColor="text1"/>
          <w:sz w:val="24"/>
          <w:szCs w:val="24"/>
        </w:rPr>
        <w:t>Inventory and Analysis</w:t>
      </w:r>
    </w:p>
    <w:p w:rsidR="00E36D16" w:rsidRPr="00E36D16" w:rsidRDefault="00E36D16" w:rsidP="00E36D16">
      <w:pPr>
        <w:autoSpaceDE w:val="0"/>
        <w:autoSpaceDN w:val="0"/>
        <w:adjustRightInd w:val="0"/>
        <w:spacing w:before="144" w:after="0" w:line="242" w:lineRule="atLeast"/>
        <w:textAlignment w:val="center"/>
        <w:rPr>
          <w:rFonts w:ascii="Calibri" w:hAnsi="Calibri" w:cs="Calibri"/>
          <w:color w:val="FF0000"/>
          <w:sz w:val="24"/>
          <w:szCs w:val="24"/>
        </w:rPr>
      </w:pPr>
      <w:r w:rsidRPr="00E36D16">
        <w:rPr>
          <w:rFonts w:ascii="Calibri" w:hAnsi="Calibri" w:cs="Calibri"/>
          <w:color w:val="000000" w:themeColor="text1"/>
          <w:sz w:val="24"/>
          <w:szCs w:val="24"/>
        </w:rPr>
        <w:t>The Plan incorporates an evaluation of existing and emerging conditions; a</w:t>
      </w:r>
      <w:r w:rsidRPr="00E36D16">
        <w:rPr>
          <w:rFonts w:cstheme="minorHAnsi"/>
          <w:color w:val="000000" w:themeColor="text1"/>
          <w:sz w:val="24"/>
          <w:szCs w:val="24"/>
          <w:shd w:val="clear" w:color="auto" w:fill="FFFFFF"/>
        </w:rPr>
        <w:t xml:space="preserve"> full exploration of past, current and potential users of the civic center in an effort to understand the highest and best use for the facility and potential upgrades required</w:t>
      </w:r>
      <w:r w:rsidRPr="00E36D16">
        <w:rPr>
          <w:rFonts w:ascii="Calibri" w:hAnsi="Calibri" w:cs="Calibri"/>
          <w:color w:val="000000" w:themeColor="text1"/>
          <w:sz w:val="24"/>
          <w:szCs w:val="24"/>
        </w:rPr>
        <w:t xml:space="preserve">.  This information provides the basis by which future modernization occurs, and helps identify challenges and potential for the implementation of study. </w:t>
      </w:r>
    </w:p>
    <w:p w:rsidR="00E36D16" w:rsidRPr="00E36D16" w:rsidRDefault="00E36D16" w:rsidP="00E36D16">
      <w:pPr>
        <w:autoSpaceDE w:val="0"/>
        <w:autoSpaceDN w:val="0"/>
        <w:adjustRightInd w:val="0"/>
        <w:spacing w:before="144" w:after="0" w:line="288" w:lineRule="auto"/>
        <w:textAlignment w:val="center"/>
        <w:rPr>
          <w:rFonts w:ascii="Calibri" w:hAnsi="Calibri" w:cs="Calibri"/>
          <w:b/>
          <w:bCs/>
          <w:color w:val="000000" w:themeColor="text1"/>
          <w:sz w:val="24"/>
          <w:szCs w:val="24"/>
        </w:rPr>
      </w:pPr>
      <w:r w:rsidRPr="00E36D16">
        <w:rPr>
          <w:rFonts w:ascii="Calibri" w:hAnsi="Calibri" w:cs="Calibri"/>
          <w:b/>
          <w:bCs/>
          <w:color w:val="000000" w:themeColor="text1"/>
          <w:sz w:val="24"/>
          <w:szCs w:val="24"/>
        </w:rPr>
        <w:t>Existing Facility Condition Assessment</w:t>
      </w:r>
    </w:p>
    <w:p w:rsidR="00E36D16" w:rsidRPr="00E36D16" w:rsidRDefault="00E36D16" w:rsidP="00E36D16">
      <w:pPr>
        <w:autoSpaceDE w:val="0"/>
        <w:autoSpaceDN w:val="0"/>
        <w:adjustRightInd w:val="0"/>
        <w:spacing w:before="120" w:after="0" w:line="240" w:lineRule="auto"/>
        <w:rPr>
          <w:rFonts w:ascii="Calibri" w:hAnsi="Calibri" w:cs="Calibri"/>
          <w:color w:val="000000" w:themeColor="text1"/>
          <w:sz w:val="24"/>
          <w:szCs w:val="24"/>
        </w:rPr>
      </w:pPr>
      <w:r w:rsidRPr="00E36D16">
        <w:rPr>
          <w:rFonts w:ascii="Calibri" w:hAnsi="Calibri" w:cs="Calibri"/>
          <w:color w:val="000000" w:themeColor="text1"/>
          <w:sz w:val="24"/>
          <w:szCs w:val="24"/>
        </w:rPr>
        <w:t>The consultant shall inspect the Canton Memorial Civic Center to produce an accurate analysis that identifies all components and elements requiring maintenance, repair, and/or major capital investment. The consultant team shall include an Ohio licensed Civil/Structural Engineer, Mechanical Engineer, Electrical Engineer, and Architect. The consultant will thoroughly examine building systems using non-destructive on-site observations to compile a complete understanding of current conditions. Consultant will ensure that the inspection staff has the appropriate training and equipment to record consistent and accurate data.</w:t>
      </w:r>
    </w:p>
    <w:p w:rsidR="00E36D16" w:rsidRPr="00E36D16" w:rsidRDefault="00E36D16" w:rsidP="00E36D16">
      <w:pPr>
        <w:autoSpaceDE w:val="0"/>
        <w:autoSpaceDN w:val="0"/>
        <w:adjustRightInd w:val="0"/>
        <w:spacing w:before="120" w:after="120" w:line="240" w:lineRule="auto"/>
        <w:rPr>
          <w:rFonts w:ascii="Calibri" w:hAnsi="Calibri" w:cs="Calibri"/>
          <w:color w:val="000000" w:themeColor="text1"/>
          <w:sz w:val="24"/>
          <w:szCs w:val="24"/>
        </w:rPr>
      </w:pPr>
      <w:r w:rsidRPr="00E36D16">
        <w:rPr>
          <w:rFonts w:ascii="Calibri" w:hAnsi="Calibri" w:cs="Calibri"/>
          <w:color w:val="000000" w:themeColor="text1"/>
          <w:sz w:val="24"/>
          <w:szCs w:val="24"/>
        </w:rPr>
        <w:t>The types of facility systems to be surveyed shall include, but are not limited to the following:</w:t>
      </w:r>
    </w:p>
    <w:p w:rsidR="00E36D16" w:rsidRPr="00E36D16" w:rsidRDefault="00E36D16" w:rsidP="00E36D16">
      <w:pPr>
        <w:numPr>
          <w:ilvl w:val="0"/>
          <w:numId w:val="28"/>
        </w:numPr>
        <w:autoSpaceDE w:val="0"/>
        <w:autoSpaceDN w:val="0"/>
        <w:adjustRightInd w:val="0"/>
        <w:spacing w:after="22" w:line="240" w:lineRule="auto"/>
        <w:rPr>
          <w:rFonts w:ascii="Calibri" w:hAnsi="Calibri" w:cs="Calibri"/>
          <w:color w:val="000000" w:themeColor="text1"/>
          <w:sz w:val="24"/>
          <w:szCs w:val="24"/>
        </w:rPr>
      </w:pPr>
      <w:r w:rsidRPr="00E36D16">
        <w:rPr>
          <w:rFonts w:ascii="Calibri" w:hAnsi="Calibri" w:cs="Calibri"/>
          <w:color w:val="000000" w:themeColor="text1"/>
          <w:sz w:val="24"/>
          <w:szCs w:val="24"/>
        </w:rPr>
        <w:t>Site: topography, drainage, access/egress, paving, curbing, parking and flatwork</w:t>
      </w:r>
    </w:p>
    <w:p w:rsidR="00E36D16" w:rsidRPr="00E36D16" w:rsidRDefault="00E36D16" w:rsidP="00E36D16">
      <w:pPr>
        <w:numPr>
          <w:ilvl w:val="0"/>
          <w:numId w:val="28"/>
        </w:numPr>
        <w:autoSpaceDE w:val="0"/>
        <w:autoSpaceDN w:val="0"/>
        <w:adjustRightInd w:val="0"/>
        <w:spacing w:after="22" w:line="240" w:lineRule="auto"/>
        <w:rPr>
          <w:rFonts w:ascii="Calibri" w:hAnsi="Calibri" w:cs="Calibri"/>
          <w:color w:val="000000" w:themeColor="text1"/>
          <w:sz w:val="24"/>
          <w:szCs w:val="24"/>
        </w:rPr>
      </w:pPr>
      <w:r w:rsidRPr="00E36D16">
        <w:rPr>
          <w:rFonts w:ascii="Calibri" w:hAnsi="Calibri" w:cs="Calibri"/>
          <w:color w:val="000000" w:themeColor="text1"/>
          <w:sz w:val="24"/>
          <w:szCs w:val="24"/>
        </w:rPr>
        <w:t>Exterior Systems: foundation, roofs, walls, window systems, exterior doors, civil utilities</w:t>
      </w:r>
    </w:p>
    <w:p w:rsidR="00E36D16" w:rsidRDefault="00E36D16" w:rsidP="00E36D16">
      <w:pPr>
        <w:numPr>
          <w:ilvl w:val="0"/>
          <w:numId w:val="28"/>
        </w:numPr>
        <w:autoSpaceDE w:val="0"/>
        <w:autoSpaceDN w:val="0"/>
        <w:adjustRightInd w:val="0"/>
        <w:spacing w:after="22" w:line="240" w:lineRule="auto"/>
        <w:rPr>
          <w:rFonts w:ascii="Calibri" w:hAnsi="Calibri" w:cs="Calibri"/>
          <w:color w:val="000000" w:themeColor="text1"/>
          <w:sz w:val="24"/>
          <w:szCs w:val="24"/>
        </w:rPr>
      </w:pPr>
      <w:r>
        <w:rPr>
          <w:rFonts w:ascii="Calibri" w:hAnsi="Calibri" w:cs="Calibri"/>
          <w:color w:val="000000" w:themeColor="text1"/>
          <w:sz w:val="24"/>
          <w:szCs w:val="24"/>
        </w:rPr>
        <w:t>Structured parking facilities</w:t>
      </w:r>
    </w:p>
    <w:p w:rsidR="00E36D16" w:rsidRPr="00E36D16" w:rsidRDefault="00E36D16" w:rsidP="00E36D16">
      <w:pPr>
        <w:numPr>
          <w:ilvl w:val="0"/>
          <w:numId w:val="28"/>
        </w:numPr>
        <w:autoSpaceDE w:val="0"/>
        <w:autoSpaceDN w:val="0"/>
        <w:adjustRightInd w:val="0"/>
        <w:spacing w:after="22" w:line="240" w:lineRule="auto"/>
        <w:rPr>
          <w:rFonts w:ascii="Calibri" w:hAnsi="Calibri" w:cs="Calibri"/>
          <w:color w:val="000000" w:themeColor="text1"/>
          <w:sz w:val="24"/>
          <w:szCs w:val="24"/>
        </w:rPr>
      </w:pPr>
      <w:r w:rsidRPr="00E36D16">
        <w:rPr>
          <w:rFonts w:ascii="Calibri" w:hAnsi="Calibri" w:cs="Calibri"/>
          <w:color w:val="000000" w:themeColor="text1"/>
          <w:sz w:val="24"/>
          <w:szCs w:val="24"/>
        </w:rPr>
        <w:t>Interior Systems: walls, doors, flooring, ceiling, hardware, architectural components</w:t>
      </w:r>
    </w:p>
    <w:p w:rsidR="00E36D16" w:rsidRPr="00E36D16" w:rsidRDefault="00E36D16" w:rsidP="00E36D16">
      <w:pPr>
        <w:numPr>
          <w:ilvl w:val="0"/>
          <w:numId w:val="28"/>
        </w:numPr>
        <w:autoSpaceDE w:val="0"/>
        <w:autoSpaceDN w:val="0"/>
        <w:adjustRightInd w:val="0"/>
        <w:spacing w:after="22" w:line="240" w:lineRule="auto"/>
        <w:rPr>
          <w:rFonts w:ascii="Calibri" w:hAnsi="Calibri" w:cs="Calibri"/>
          <w:color w:val="000000" w:themeColor="text1"/>
          <w:sz w:val="24"/>
          <w:szCs w:val="24"/>
        </w:rPr>
      </w:pPr>
      <w:r w:rsidRPr="00E36D16">
        <w:rPr>
          <w:rFonts w:ascii="Calibri" w:hAnsi="Calibri" w:cs="Calibri"/>
          <w:color w:val="000000" w:themeColor="text1"/>
          <w:sz w:val="24"/>
          <w:szCs w:val="24"/>
        </w:rPr>
        <w:t>Fire/Life Safety Issues (including hazards, alarms, and fire escapes).</w:t>
      </w:r>
    </w:p>
    <w:p w:rsidR="00E36D16" w:rsidRPr="00E36D16" w:rsidRDefault="00E36D16" w:rsidP="00E36D16">
      <w:pPr>
        <w:numPr>
          <w:ilvl w:val="0"/>
          <w:numId w:val="28"/>
        </w:numPr>
        <w:autoSpaceDE w:val="0"/>
        <w:autoSpaceDN w:val="0"/>
        <w:adjustRightInd w:val="0"/>
        <w:spacing w:after="22" w:line="240" w:lineRule="auto"/>
        <w:rPr>
          <w:rFonts w:ascii="Calibri" w:hAnsi="Calibri" w:cs="Calibri"/>
          <w:color w:val="000000" w:themeColor="text1"/>
          <w:sz w:val="24"/>
          <w:szCs w:val="24"/>
        </w:rPr>
      </w:pPr>
      <w:r w:rsidRPr="00E36D16">
        <w:rPr>
          <w:rFonts w:ascii="Calibri" w:hAnsi="Calibri" w:cs="Calibri"/>
          <w:color w:val="000000" w:themeColor="text1"/>
          <w:sz w:val="24"/>
          <w:szCs w:val="24"/>
        </w:rPr>
        <w:t>Heating, ventilation, and air conditioning, including controls and terminal units.</w:t>
      </w:r>
    </w:p>
    <w:p w:rsidR="00E36D16" w:rsidRPr="00E36D16" w:rsidRDefault="00E36D16" w:rsidP="00E36D16">
      <w:pPr>
        <w:numPr>
          <w:ilvl w:val="0"/>
          <w:numId w:val="28"/>
        </w:numPr>
        <w:autoSpaceDE w:val="0"/>
        <w:autoSpaceDN w:val="0"/>
        <w:adjustRightInd w:val="0"/>
        <w:spacing w:after="22" w:line="240" w:lineRule="auto"/>
        <w:rPr>
          <w:rFonts w:ascii="Calibri" w:hAnsi="Calibri" w:cs="Calibri"/>
          <w:color w:val="000000" w:themeColor="text1"/>
          <w:sz w:val="24"/>
          <w:szCs w:val="24"/>
        </w:rPr>
      </w:pPr>
      <w:r w:rsidRPr="00E36D16">
        <w:rPr>
          <w:rFonts w:ascii="Calibri" w:hAnsi="Calibri" w:cs="Calibri"/>
          <w:color w:val="000000" w:themeColor="text1"/>
          <w:sz w:val="24"/>
          <w:szCs w:val="24"/>
        </w:rPr>
        <w:t>Electrical and electrical distribution to include generators.</w:t>
      </w:r>
    </w:p>
    <w:p w:rsidR="00E36D16" w:rsidRPr="00E36D16" w:rsidRDefault="00E36D16" w:rsidP="00E36D16">
      <w:pPr>
        <w:numPr>
          <w:ilvl w:val="0"/>
          <w:numId w:val="28"/>
        </w:numPr>
        <w:autoSpaceDE w:val="0"/>
        <w:autoSpaceDN w:val="0"/>
        <w:adjustRightInd w:val="0"/>
        <w:spacing w:after="22" w:line="240" w:lineRule="auto"/>
        <w:rPr>
          <w:rFonts w:ascii="Calibri" w:hAnsi="Calibri" w:cs="Calibri"/>
          <w:color w:val="000000" w:themeColor="text1"/>
          <w:sz w:val="24"/>
          <w:szCs w:val="24"/>
        </w:rPr>
      </w:pPr>
      <w:r w:rsidRPr="00E36D16">
        <w:rPr>
          <w:rFonts w:ascii="Calibri" w:hAnsi="Calibri" w:cs="Calibri"/>
          <w:color w:val="000000" w:themeColor="text1"/>
          <w:sz w:val="24"/>
          <w:szCs w:val="24"/>
        </w:rPr>
        <w:t xml:space="preserve">Plumbing Systems: fixtures, supply, storm and sanitary sewer drainage and valuing </w:t>
      </w:r>
    </w:p>
    <w:p w:rsidR="00E36D16" w:rsidRPr="00E36D16" w:rsidRDefault="00E36D16" w:rsidP="00E36D16">
      <w:pPr>
        <w:numPr>
          <w:ilvl w:val="0"/>
          <w:numId w:val="28"/>
        </w:numPr>
        <w:autoSpaceDE w:val="0"/>
        <w:autoSpaceDN w:val="0"/>
        <w:adjustRightInd w:val="0"/>
        <w:spacing w:after="22" w:line="240" w:lineRule="auto"/>
        <w:rPr>
          <w:rFonts w:ascii="Calibri" w:hAnsi="Calibri" w:cs="Calibri"/>
          <w:color w:val="000000" w:themeColor="text1"/>
          <w:sz w:val="24"/>
          <w:szCs w:val="24"/>
        </w:rPr>
      </w:pPr>
      <w:r w:rsidRPr="00E36D16">
        <w:rPr>
          <w:rFonts w:ascii="Calibri" w:hAnsi="Calibri" w:cs="Calibri"/>
          <w:color w:val="000000" w:themeColor="text1"/>
          <w:sz w:val="24"/>
          <w:szCs w:val="24"/>
        </w:rPr>
        <w:t xml:space="preserve">Fire Protection </w:t>
      </w:r>
    </w:p>
    <w:p w:rsidR="00E36D16" w:rsidRPr="00E36D16" w:rsidRDefault="00E36D16" w:rsidP="00E36D16">
      <w:pPr>
        <w:numPr>
          <w:ilvl w:val="0"/>
          <w:numId w:val="28"/>
        </w:numPr>
        <w:autoSpaceDE w:val="0"/>
        <w:autoSpaceDN w:val="0"/>
        <w:adjustRightInd w:val="0"/>
        <w:spacing w:after="22" w:line="240" w:lineRule="auto"/>
        <w:rPr>
          <w:rFonts w:ascii="Calibri" w:hAnsi="Calibri" w:cs="Calibri"/>
          <w:color w:val="000000" w:themeColor="text1"/>
          <w:sz w:val="24"/>
          <w:szCs w:val="24"/>
        </w:rPr>
      </w:pPr>
      <w:r w:rsidRPr="00E36D16">
        <w:rPr>
          <w:rFonts w:ascii="Calibri" w:hAnsi="Calibri" w:cs="Calibri"/>
          <w:color w:val="000000" w:themeColor="text1"/>
          <w:sz w:val="24"/>
          <w:szCs w:val="24"/>
        </w:rPr>
        <w:t xml:space="preserve">Specialized construction and contributing outbuildings </w:t>
      </w:r>
    </w:p>
    <w:p w:rsidR="00E36D16" w:rsidRPr="00E36D16" w:rsidRDefault="00E36D16" w:rsidP="00E36D16">
      <w:pPr>
        <w:numPr>
          <w:ilvl w:val="0"/>
          <w:numId w:val="28"/>
        </w:numPr>
        <w:autoSpaceDE w:val="0"/>
        <w:autoSpaceDN w:val="0"/>
        <w:adjustRightInd w:val="0"/>
        <w:spacing w:after="22" w:line="240" w:lineRule="auto"/>
        <w:rPr>
          <w:rFonts w:ascii="Calibri" w:hAnsi="Calibri" w:cs="Calibri"/>
          <w:color w:val="000000" w:themeColor="text1"/>
          <w:sz w:val="24"/>
          <w:szCs w:val="24"/>
        </w:rPr>
      </w:pPr>
      <w:r w:rsidRPr="00E36D16">
        <w:rPr>
          <w:rFonts w:ascii="Calibri" w:hAnsi="Calibri" w:cs="Calibri"/>
          <w:color w:val="000000" w:themeColor="text1"/>
          <w:sz w:val="24"/>
          <w:szCs w:val="24"/>
        </w:rPr>
        <w:t xml:space="preserve">Specialized equipment and systems </w:t>
      </w:r>
    </w:p>
    <w:p w:rsidR="00E36D16" w:rsidRDefault="00E36D16" w:rsidP="00E36D16">
      <w:pPr>
        <w:numPr>
          <w:ilvl w:val="0"/>
          <w:numId w:val="28"/>
        </w:numPr>
        <w:autoSpaceDE w:val="0"/>
        <w:autoSpaceDN w:val="0"/>
        <w:adjustRightInd w:val="0"/>
        <w:spacing w:after="22" w:line="240" w:lineRule="auto"/>
        <w:rPr>
          <w:rFonts w:ascii="Calibri" w:hAnsi="Calibri" w:cs="Calibri"/>
          <w:color w:val="000000" w:themeColor="text1"/>
          <w:sz w:val="24"/>
          <w:szCs w:val="24"/>
        </w:rPr>
      </w:pPr>
      <w:r>
        <w:rPr>
          <w:rFonts w:ascii="Calibri" w:hAnsi="Calibri" w:cs="Calibri"/>
          <w:color w:val="000000" w:themeColor="text1"/>
          <w:sz w:val="24"/>
          <w:szCs w:val="24"/>
        </w:rPr>
        <w:t>Elevator s</w:t>
      </w:r>
      <w:r w:rsidRPr="00E36D16">
        <w:rPr>
          <w:rFonts w:ascii="Calibri" w:hAnsi="Calibri" w:cs="Calibri"/>
          <w:color w:val="000000" w:themeColor="text1"/>
          <w:sz w:val="24"/>
          <w:szCs w:val="24"/>
        </w:rPr>
        <w:t>ystems</w:t>
      </w:r>
    </w:p>
    <w:p w:rsidR="00E36D16" w:rsidRPr="00E36D16" w:rsidRDefault="00E36D16" w:rsidP="00E36D16">
      <w:pPr>
        <w:autoSpaceDE w:val="0"/>
        <w:autoSpaceDN w:val="0"/>
        <w:adjustRightInd w:val="0"/>
        <w:spacing w:before="120" w:after="0" w:line="240" w:lineRule="auto"/>
        <w:textAlignment w:val="center"/>
        <w:rPr>
          <w:rFonts w:ascii="Calibri" w:hAnsi="Calibri" w:cs="Calibri"/>
          <w:b/>
          <w:bCs/>
          <w:color w:val="000000" w:themeColor="text1"/>
          <w:sz w:val="24"/>
          <w:szCs w:val="24"/>
        </w:rPr>
      </w:pPr>
      <w:r w:rsidRPr="00E36D16">
        <w:rPr>
          <w:rFonts w:ascii="Calibri" w:hAnsi="Calibri" w:cs="Calibri"/>
          <w:b/>
          <w:bCs/>
          <w:color w:val="000000" w:themeColor="text1"/>
          <w:sz w:val="24"/>
          <w:szCs w:val="24"/>
        </w:rPr>
        <w:t>Reconstruction Recommendations</w:t>
      </w:r>
    </w:p>
    <w:p w:rsidR="00E36D16" w:rsidRPr="00E36D16" w:rsidRDefault="00E36D16" w:rsidP="00E36D16">
      <w:pPr>
        <w:autoSpaceDE w:val="0"/>
        <w:autoSpaceDN w:val="0"/>
        <w:adjustRightInd w:val="0"/>
        <w:spacing w:before="120" w:after="0" w:line="240" w:lineRule="auto"/>
        <w:textAlignment w:val="center"/>
        <w:rPr>
          <w:rFonts w:ascii="Calibri" w:hAnsi="Calibri" w:cs="Calibri"/>
          <w:color w:val="FF0000"/>
          <w:sz w:val="24"/>
          <w:szCs w:val="24"/>
        </w:rPr>
      </w:pPr>
      <w:r w:rsidRPr="00E36D16">
        <w:rPr>
          <w:rFonts w:ascii="Calibri" w:hAnsi="Calibri" w:cs="Calibri"/>
          <w:color w:val="000000" w:themeColor="text1"/>
          <w:sz w:val="24"/>
          <w:szCs w:val="24"/>
        </w:rPr>
        <w:t>Development of, understanding, and embracing a comprehensive vision for the Canton Memorial Civic Center is critical for decision-makers to make future development choices.  The modernization concepts and reconstruction recommendations to be developed in this plan draw from the inventory and analysis; current, planned and forecasted programming.  Establishing the long term operations, community draw and economic viability of the facility</w:t>
      </w:r>
      <w:r w:rsidRPr="00E36D16">
        <w:rPr>
          <w:rFonts w:ascii="Calibri" w:hAnsi="Calibri" w:cs="Calibri"/>
          <w:color w:val="FF0000"/>
          <w:sz w:val="24"/>
          <w:szCs w:val="24"/>
        </w:rPr>
        <w:t>.</w:t>
      </w:r>
    </w:p>
    <w:p w:rsidR="00E36D16" w:rsidRPr="00E36D16" w:rsidRDefault="00E36D16" w:rsidP="00E36D16">
      <w:pPr>
        <w:autoSpaceDE w:val="0"/>
        <w:autoSpaceDN w:val="0"/>
        <w:adjustRightInd w:val="0"/>
        <w:spacing w:before="120" w:after="0" w:line="240" w:lineRule="auto"/>
        <w:textAlignment w:val="center"/>
        <w:rPr>
          <w:rFonts w:ascii="Calibri" w:hAnsi="Calibri" w:cs="Calibri"/>
          <w:b/>
          <w:bCs/>
          <w:color w:val="000000" w:themeColor="text1"/>
          <w:sz w:val="24"/>
          <w:szCs w:val="24"/>
        </w:rPr>
      </w:pPr>
      <w:r w:rsidRPr="00E36D16">
        <w:rPr>
          <w:rFonts w:ascii="Calibri" w:hAnsi="Calibri" w:cs="Calibri"/>
          <w:b/>
          <w:bCs/>
          <w:color w:val="000000" w:themeColor="text1"/>
          <w:sz w:val="24"/>
          <w:szCs w:val="24"/>
        </w:rPr>
        <w:t>Capital Improvements Plan</w:t>
      </w:r>
    </w:p>
    <w:p w:rsidR="00E36D16" w:rsidRPr="00E36D16" w:rsidRDefault="00E36D16" w:rsidP="00E36D16">
      <w:pPr>
        <w:shd w:val="clear" w:color="auto" w:fill="FFFFFF"/>
        <w:spacing w:before="120" w:after="0" w:line="240" w:lineRule="auto"/>
        <w:rPr>
          <w:rFonts w:eastAsia="Times New Roman" w:cstheme="minorHAnsi"/>
          <w:color w:val="000000" w:themeColor="text1"/>
          <w:sz w:val="24"/>
          <w:szCs w:val="24"/>
        </w:rPr>
      </w:pPr>
      <w:r w:rsidRPr="00E36D16">
        <w:rPr>
          <w:rFonts w:ascii="Calibri" w:eastAsia="Times New Roman" w:hAnsi="Calibri" w:cs="Calibri"/>
          <w:color w:val="000000" w:themeColor="text1"/>
          <w:sz w:val="24"/>
          <w:szCs w:val="24"/>
        </w:rPr>
        <w:t xml:space="preserve">The capital improvements plan provides recommendations for future investment. </w:t>
      </w:r>
      <w:r w:rsidRPr="00E36D16">
        <w:rPr>
          <w:rFonts w:eastAsia="Times New Roman" w:cstheme="minorHAnsi"/>
          <w:color w:val="000000" w:themeColor="text1"/>
          <w:sz w:val="24"/>
          <w:szCs w:val="24"/>
        </w:rPr>
        <w:t>It contains all the individual projects and equipment purchases; in conjunction with construction and completion schedules, and in consort with financing plans. The plan provides a working blueprint for sustaining and improving the facilities infrastructures. It coordinates strategic planning, financial capacity, and physical development</w:t>
      </w:r>
      <w:r w:rsidRPr="00E36D16">
        <w:rPr>
          <w:rFonts w:ascii="Calibri" w:eastAsia="Times New Roman" w:hAnsi="Calibri" w:cs="Calibri"/>
          <w:color w:val="000000" w:themeColor="text1"/>
          <w:sz w:val="24"/>
          <w:szCs w:val="24"/>
        </w:rPr>
        <w:t xml:space="preserve">.  </w:t>
      </w:r>
      <w:r w:rsidRPr="00E36D16">
        <w:rPr>
          <w:rFonts w:eastAsia="Times New Roman" w:cstheme="minorHAnsi"/>
          <w:color w:val="000000" w:themeColor="text1"/>
          <w:sz w:val="24"/>
          <w:szCs w:val="24"/>
        </w:rPr>
        <w:t xml:space="preserve">This capital improvement plan has two parts – a capital budget and a capital program. The capital budget is the upcoming year’s spending plan (short-term needs) for capital items. The capital program is a plan for capital </w:t>
      </w:r>
      <w:r w:rsidRPr="00E36D16">
        <w:rPr>
          <w:rFonts w:eastAsia="Times New Roman" w:cstheme="minorHAnsi"/>
          <w:color w:val="000000" w:themeColor="text1"/>
          <w:sz w:val="24"/>
          <w:szCs w:val="24"/>
        </w:rPr>
        <w:lastRenderedPageBreak/>
        <w:t xml:space="preserve">expenditures that extends five years beyond the capital budget; </w:t>
      </w:r>
      <w:r w:rsidRPr="00E36D16">
        <w:rPr>
          <w:rFonts w:ascii="Calibri" w:eastAsia="Times New Roman" w:hAnsi="Calibri" w:cs="Calibri"/>
          <w:color w:val="000000" w:themeColor="text1"/>
          <w:sz w:val="24"/>
          <w:szCs w:val="24"/>
        </w:rPr>
        <w:t>it addresses intermediate needs (1-3-year), and long-term needs (3 to 5-year horizon).</w:t>
      </w:r>
    </w:p>
    <w:p w:rsidR="00E36D16" w:rsidRPr="00E36D16" w:rsidRDefault="00E36D16" w:rsidP="00E36D16">
      <w:pPr>
        <w:shd w:val="clear" w:color="auto" w:fill="FFFFFF"/>
        <w:spacing w:before="120" w:after="120" w:line="240" w:lineRule="auto"/>
        <w:rPr>
          <w:rFonts w:eastAsia="Times New Roman" w:cstheme="minorHAnsi"/>
          <w:color w:val="000000" w:themeColor="text1"/>
          <w:sz w:val="24"/>
          <w:szCs w:val="24"/>
        </w:rPr>
      </w:pPr>
      <w:r w:rsidRPr="00E36D16">
        <w:rPr>
          <w:rFonts w:eastAsia="Times New Roman" w:cstheme="minorHAnsi"/>
          <w:color w:val="000000" w:themeColor="text1"/>
          <w:sz w:val="24"/>
          <w:szCs w:val="24"/>
        </w:rPr>
        <w:t>The Capital Improvement Plan will include the following information:</w:t>
      </w:r>
    </w:p>
    <w:p w:rsidR="00E36D16" w:rsidRPr="00E36D16" w:rsidRDefault="00E36D16" w:rsidP="00E36D16">
      <w:pPr>
        <w:numPr>
          <w:ilvl w:val="0"/>
          <w:numId w:val="29"/>
        </w:numPr>
        <w:shd w:val="clear" w:color="auto" w:fill="FFFFFF"/>
        <w:spacing w:after="0" w:line="240" w:lineRule="auto"/>
        <w:contextualSpacing/>
        <w:rPr>
          <w:rFonts w:eastAsia="Times New Roman" w:cstheme="minorHAnsi"/>
          <w:color w:val="000000" w:themeColor="text1"/>
          <w:sz w:val="24"/>
          <w:szCs w:val="24"/>
        </w:rPr>
      </w:pPr>
      <w:r w:rsidRPr="00E36D16">
        <w:rPr>
          <w:rFonts w:eastAsia="Times New Roman" w:cstheme="minorHAnsi"/>
          <w:color w:val="000000" w:themeColor="text1"/>
          <w:sz w:val="24"/>
          <w:szCs w:val="24"/>
        </w:rPr>
        <w:t>A listing of the capital projects, equipment, and major expenditures</w:t>
      </w:r>
    </w:p>
    <w:p w:rsidR="00E36D16" w:rsidRPr="00E36D16" w:rsidRDefault="00E36D16" w:rsidP="00E36D16">
      <w:pPr>
        <w:numPr>
          <w:ilvl w:val="0"/>
          <w:numId w:val="29"/>
        </w:numPr>
        <w:shd w:val="clear" w:color="auto" w:fill="FFFFFF"/>
        <w:spacing w:after="0" w:line="240" w:lineRule="auto"/>
        <w:contextualSpacing/>
        <w:rPr>
          <w:rFonts w:eastAsia="Times New Roman" w:cstheme="minorHAnsi"/>
          <w:color w:val="000000" w:themeColor="text1"/>
          <w:sz w:val="24"/>
          <w:szCs w:val="24"/>
        </w:rPr>
      </w:pPr>
      <w:r w:rsidRPr="00E36D16">
        <w:rPr>
          <w:rFonts w:eastAsia="Times New Roman" w:cstheme="minorHAnsi"/>
          <w:color w:val="000000" w:themeColor="text1"/>
          <w:sz w:val="24"/>
          <w:szCs w:val="24"/>
        </w:rPr>
        <w:t>A ranking of projects</w:t>
      </w:r>
    </w:p>
    <w:p w:rsidR="00E36D16" w:rsidRPr="00E36D16" w:rsidRDefault="00E36D16" w:rsidP="00E36D16">
      <w:pPr>
        <w:numPr>
          <w:ilvl w:val="0"/>
          <w:numId w:val="29"/>
        </w:numPr>
        <w:shd w:val="clear" w:color="auto" w:fill="FFFFFF"/>
        <w:spacing w:after="0" w:line="240" w:lineRule="auto"/>
        <w:contextualSpacing/>
        <w:rPr>
          <w:rFonts w:eastAsia="Times New Roman" w:cstheme="minorHAnsi"/>
          <w:color w:val="000000" w:themeColor="text1"/>
          <w:sz w:val="24"/>
          <w:szCs w:val="24"/>
        </w:rPr>
      </w:pPr>
      <w:r w:rsidRPr="00E36D16">
        <w:rPr>
          <w:rFonts w:eastAsia="Times New Roman" w:cstheme="minorHAnsi"/>
          <w:color w:val="000000" w:themeColor="text1"/>
          <w:sz w:val="24"/>
          <w:szCs w:val="24"/>
        </w:rPr>
        <w:t>A financing plan</w:t>
      </w:r>
    </w:p>
    <w:p w:rsidR="00E36D16" w:rsidRPr="00E36D16" w:rsidRDefault="00E36D16" w:rsidP="00E36D16">
      <w:pPr>
        <w:numPr>
          <w:ilvl w:val="0"/>
          <w:numId w:val="29"/>
        </w:numPr>
        <w:shd w:val="clear" w:color="auto" w:fill="FFFFFF"/>
        <w:spacing w:after="0" w:line="240" w:lineRule="auto"/>
        <w:contextualSpacing/>
        <w:rPr>
          <w:rFonts w:eastAsia="Times New Roman" w:cstheme="minorHAnsi"/>
          <w:color w:val="000000" w:themeColor="text1"/>
          <w:sz w:val="24"/>
          <w:szCs w:val="24"/>
        </w:rPr>
      </w:pPr>
      <w:r w:rsidRPr="00E36D16">
        <w:rPr>
          <w:rFonts w:eastAsia="Times New Roman" w:cstheme="minorHAnsi"/>
          <w:color w:val="000000" w:themeColor="text1"/>
          <w:sz w:val="24"/>
          <w:szCs w:val="24"/>
        </w:rPr>
        <w:t>A sequencing strategy - a timetable for the construction or completion of the project</w:t>
      </w:r>
    </w:p>
    <w:p w:rsidR="00E36D16" w:rsidRPr="00E36D16" w:rsidRDefault="00E36D16" w:rsidP="00E36D16">
      <w:pPr>
        <w:numPr>
          <w:ilvl w:val="0"/>
          <w:numId w:val="29"/>
        </w:numPr>
        <w:shd w:val="clear" w:color="auto" w:fill="FFFFFF"/>
        <w:spacing w:after="0" w:line="240" w:lineRule="auto"/>
        <w:contextualSpacing/>
        <w:rPr>
          <w:rFonts w:eastAsia="Times New Roman" w:cstheme="minorHAnsi"/>
          <w:color w:val="000000" w:themeColor="text1"/>
          <w:sz w:val="24"/>
          <w:szCs w:val="24"/>
        </w:rPr>
      </w:pPr>
      <w:r w:rsidRPr="00E36D16">
        <w:rPr>
          <w:rFonts w:eastAsia="Times New Roman" w:cstheme="minorHAnsi"/>
          <w:color w:val="000000" w:themeColor="text1"/>
          <w:sz w:val="24"/>
          <w:szCs w:val="24"/>
        </w:rPr>
        <w:t>A project justification</w:t>
      </w:r>
    </w:p>
    <w:p w:rsidR="00E36D16" w:rsidRPr="00E36D16" w:rsidRDefault="00E36D16" w:rsidP="00E36D16">
      <w:pPr>
        <w:numPr>
          <w:ilvl w:val="0"/>
          <w:numId w:val="29"/>
        </w:numPr>
        <w:shd w:val="clear" w:color="auto" w:fill="FFFFFF"/>
        <w:spacing w:after="0" w:line="240" w:lineRule="auto"/>
        <w:contextualSpacing/>
        <w:rPr>
          <w:rFonts w:eastAsia="Times New Roman" w:cstheme="minorHAnsi"/>
          <w:color w:val="000000" w:themeColor="text1"/>
          <w:sz w:val="24"/>
          <w:szCs w:val="24"/>
        </w:rPr>
      </w:pPr>
      <w:r w:rsidRPr="00E36D16">
        <w:rPr>
          <w:rFonts w:eastAsia="Times New Roman" w:cstheme="minorHAnsi"/>
          <w:color w:val="000000" w:themeColor="text1"/>
          <w:sz w:val="24"/>
          <w:szCs w:val="24"/>
        </w:rPr>
        <w:t>A classification, itemization and explanation for the project expenditures</w:t>
      </w:r>
    </w:p>
    <w:p w:rsidR="00E36D16" w:rsidRPr="00E36D16" w:rsidRDefault="00E36D16" w:rsidP="00E36D16">
      <w:pPr>
        <w:autoSpaceDE w:val="0"/>
        <w:autoSpaceDN w:val="0"/>
        <w:adjustRightInd w:val="0"/>
        <w:spacing w:before="120" w:after="0" w:line="240" w:lineRule="auto"/>
        <w:textAlignment w:val="center"/>
        <w:rPr>
          <w:rFonts w:ascii="Calibri" w:hAnsi="Calibri" w:cs="Calibri"/>
          <w:b/>
          <w:bCs/>
          <w:color w:val="000000" w:themeColor="text1"/>
          <w:sz w:val="24"/>
          <w:szCs w:val="24"/>
        </w:rPr>
      </w:pPr>
      <w:r w:rsidRPr="00E36D16">
        <w:rPr>
          <w:rFonts w:ascii="Calibri" w:hAnsi="Calibri" w:cs="Calibri"/>
          <w:b/>
          <w:bCs/>
          <w:color w:val="000000" w:themeColor="text1"/>
          <w:sz w:val="24"/>
          <w:szCs w:val="24"/>
        </w:rPr>
        <w:t xml:space="preserve">Probable Costs </w:t>
      </w:r>
    </w:p>
    <w:p w:rsidR="00E36D16" w:rsidRPr="00E36D16" w:rsidRDefault="00E36D16" w:rsidP="00E36D16">
      <w:pPr>
        <w:autoSpaceDE w:val="0"/>
        <w:autoSpaceDN w:val="0"/>
        <w:adjustRightInd w:val="0"/>
        <w:spacing w:before="120" w:after="0" w:line="240" w:lineRule="auto"/>
        <w:textAlignment w:val="center"/>
        <w:rPr>
          <w:rFonts w:ascii="Calibri" w:hAnsi="Calibri" w:cs="Calibri"/>
          <w:color w:val="000000" w:themeColor="text1"/>
          <w:sz w:val="24"/>
          <w:szCs w:val="24"/>
        </w:rPr>
      </w:pPr>
      <w:r w:rsidRPr="00E36D16">
        <w:rPr>
          <w:rFonts w:ascii="Calibri" w:hAnsi="Calibri" w:cs="Calibri"/>
          <w:color w:val="000000" w:themeColor="text1"/>
          <w:sz w:val="24"/>
          <w:szCs w:val="24"/>
        </w:rPr>
        <w:t>The plan is a long-range vision and physical framework that will guide change over time.  It will be implemented as a series capital improvement projects, with multiple funding sources.  To present a realistic estimate of probable costs, a number of assumptions will be required, related to materials, quantities, phasing, existing infrastructure, and conditions.  The probable costs are intended to be used for budgeting. They will align and be responsive to current city/state standards.</w:t>
      </w:r>
    </w:p>
    <w:p w:rsidR="00941491" w:rsidRPr="00E36D16" w:rsidRDefault="00941491" w:rsidP="00941491">
      <w:pPr>
        <w:pStyle w:val="03Heading"/>
        <w:spacing w:before="120" w:line="240" w:lineRule="auto"/>
        <w:rPr>
          <w:bCs w:val="0"/>
          <w:sz w:val="40"/>
          <w:szCs w:val="40"/>
        </w:rPr>
      </w:pPr>
      <w:r w:rsidRPr="00E36D16">
        <w:rPr>
          <w:bCs w:val="0"/>
          <w:sz w:val="40"/>
          <w:szCs w:val="40"/>
        </w:rPr>
        <w:t>Requirements</w:t>
      </w:r>
    </w:p>
    <w:p w:rsidR="00965847" w:rsidRPr="00E36D16" w:rsidRDefault="00965847" w:rsidP="00965847">
      <w:pPr>
        <w:pStyle w:val="Pa2"/>
        <w:spacing w:before="140"/>
        <w:ind w:left="600" w:hanging="600"/>
        <w:rPr>
          <w:color w:val="000000" w:themeColor="text1"/>
          <w:sz w:val="32"/>
          <w:szCs w:val="32"/>
        </w:rPr>
      </w:pPr>
      <w:r w:rsidRPr="00E36D16">
        <w:rPr>
          <w:b/>
          <w:bCs/>
          <w:color w:val="000000" w:themeColor="text1"/>
          <w:sz w:val="32"/>
          <w:szCs w:val="32"/>
        </w:rPr>
        <w:t>3.1</w:t>
      </w:r>
      <w:r w:rsidRPr="00E36D16">
        <w:rPr>
          <w:b/>
          <w:bCs/>
          <w:color w:val="000000" w:themeColor="text1"/>
          <w:sz w:val="32"/>
          <w:szCs w:val="32"/>
        </w:rPr>
        <w:tab/>
        <w:t>Prequalification Overview</w:t>
      </w:r>
    </w:p>
    <w:p w:rsidR="00941491" w:rsidRPr="00FF7AE9" w:rsidRDefault="00941491" w:rsidP="00941491">
      <w:pPr>
        <w:pStyle w:val="BodyText"/>
        <w:rPr>
          <w:rFonts w:asciiTheme="minorHAnsi" w:hAnsiTheme="minorHAnsi" w:cstheme="minorHAnsi"/>
          <w:color w:val="00ADEF"/>
          <w:sz w:val="24"/>
          <w:szCs w:val="24"/>
        </w:rPr>
      </w:pPr>
      <w:r w:rsidRPr="00FF7AE9">
        <w:rPr>
          <w:rFonts w:asciiTheme="minorHAnsi" w:hAnsiTheme="minorHAnsi" w:cstheme="minorHAnsi"/>
          <w:sz w:val="24"/>
          <w:szCs w:val="24"/>
        </w:rPr>
        <w:t>This is a request for Qua</w:t>
      </w:r>
      <w:r w:rsidR="001E6F01">
        <w:rPr>
          <w:rFonts w:asciiTheme="minorHAnsi" w:hAnsiTheme="minorHAnsi" w:cstheme="minorHAnsi"/>
          <w:sz w:val="24"/>
          <w:szCs w:val="24"/>
        </w:rPr>
        <w:t>lifications (RFQ) for qualified firms</w:t>
      </w:r>
      <w:r w:rsidR="003C200C">
        <w:rPr>
          <w:rFonts w:asciiTheme="minorHAnsi" w:hAnsiTheme="minorHAnsi" w:cstheme="minorHAnsi"/>
          <w:sz w:val="24"/>
          <w:szCs w:val="24"/>
        </w:rPr>
        <w:t xml:space="preserve"> </w:t>
      </w:r>
      <w:r w:rsidRPr="00FF7AE9">
        <w:rPr>
          <w:rFonts w:asciiTheme="minorHAnsi" w:hAnsiTheme="minorHAnsi" w:cstheme="minorHAnsi"/>
          <w:sz w:val="24"/>
          <w:szCs w:val="24"/>
        </w:rPr>
        <w:t xml:space="preserve">interested in providing </w:t>
      </w:r>
      <w:r w:rsidR="009C291F">
        <w:rPr>
          <w:rFonts w:asciiTheme="minorHAnsi" w:hAnsiTheme="minorHAnsi" w:cstheme="minorHAnsi"/>
          <w:sz w:val="24"/>
          <w:szCs w:val="24"/>
        </w:rPr>
        <w:t xml:space="preserve">professional </w:t>
      </w:r>
      <w:r w:rsidR="001E6F01">
        <w:rPr>
          <w:rFonts w:asciiTheme="minorHAnsi" w:hAnsiTheme="minorHAnsi" w:cstheme="minorHAnsi"/>
          <w:sz w:val="24"/>
          <w:szCs w:val="24"/>
        </w:rPr>
        <w:t>services</w:t>
      </w:r>
      <w:r w:rsidRPr="00FF7AE9">
        <w:rPr>
          <w:rFonts w:asciiTheme="minorHAnsi" w:hAnsiTheme="minorHAnsi" w:cstheme="minorHAnsi"/>
          <w:sz w:val="24"/>
          <w:szCs w:val="24"/>
        </w:rPr>
        <w:t xml:space="preserve"> for the City of Canton.</w:t>
      </w:r>
      <w:r w:rsidRPr="00FF7AE9">
        <w:rPr>
          <w:rFonts w:asciiTheme="minorHAnsi" w:hAnsiTheme="minorHAnsi" w:cstheme="minorHAnsi"/>
          <w:color w:val="00ADEF"/>
          <w:sz w:val="24"/>
          <w:szCs w:val="24"/>
        </w:rPr>
        <w:t xml:space="preserve">  </w:t>
      </w:r>
      <w:r>
        <w:rPr>
          <w:rFonts w:asciiTheme="minorHAnsi" w:hAnsiTheme="minorHAnsi" w:cstheme="minorHAnsi"/>
          <w:sz w:val="24"/>
          <w:szCs w:val="24"/>
        </w:rPr>
        <w:t xml:space="preserve">The scope of </w:t>
      </w:r>
      <w:r w:rsidRPr="00FF7AE9">
        <w:rPr>
          <w:rFonts w:asciiTheme="minorHAnsi" w:hAnsiTheme="minorHAnsi" w:cstheme="minorHAnsi"/>
          <w:sz w:val="24"/>
          <w:szCs w:val="24"/>
        </w:rPr>
        <w:t>services will include project coordination, site investigation, data</w:t>
      </w:r>
      <w:r w:rsidR="003C200C">
        <w:rPr>
          <w:rFonts w:asciiTheme="minorHAnsi" w:hAnsiTheme="minorHAnsi" w:cstheme="minorHAnsi"/>
          <w:sz w:val="24"/>
          <w:szCs w:val="24"/>
        </w:rPr>
        <w:t xml:space="preserve"> collection, </w:t>
      </w:r>
      <w:r w:rsidR="00602642">
        <w:rPr>
          <w:rFonts w:asciiTheme="minorHAnsi" w:hAnsiTheme="minorHAnsi" w:cstheme="minorHAnsi"/>
          <w:sz w:val="24"/>
          <w:szCs w:val="24"/>
        </w:rPr>
        <w:t xml:space="preserve">programmatic and </w:t>
      </w:r>
      <w:r w:rsidR="009C291F">
        <w:rPr>
          <w:rFonts w:asciiTheme="minorHAnsi" w:hAnsiTheme="minorHAnsi" w:cstheme="minorHAnsi"/>
          <w:sz w:val="24"/>
          <w:szCs w:val="24"/>
        </w:rPr>
        <w:t>diagrammatic</w:t>
      </w:r>
      <w:r w:rsidR="00602642">
        <w:rPr>
          <w:rFonts w:asciiTheme="minorHAnsi" w:hAnsiTheme="minorHAnsi" w:cstheme="minorHAnsi"/>
          <w:sz w:val="24"/>
          <w:szCs w:val="24"/>
        </w:rPr>
        <w:t xml:space="preserve"> </w:t>
      </w:r>
      <w:r w:rsidRPr="00FF7AE9">
        <w:rPr>
          <w:rFonts w:asciiTheme="minorHAnsi" w:hAnsiTheme="minorHAnsi" w:cstheme="minorHAnsi"/>
          <w:sz w:val="24"/>
          <w:szCs w:val="24"/>
        </w:rPr>
        <w:t>d</w:t>
      </w:r>
      <w:r w:rsidR="009C291F">
        <w:rPr>
          <w:rFonts w:asciiTheme="minorHAnsi" w:hAnsiTheme="minorHAnsi" w:cstheme="minorHAnsi"/>
          <w:sz w:val="24"/>
          <w:szCs w:val="24"/>
        </w:rPr>
        <w:t>rawings and</w:t>
      </w:r>
      <w:r w:rsidR="00602642">
        <w:rPr>
          <w:rFonts w:asciiTheme="minorHAnsi" w:hAnsiTheme="minorHAnsi" w:cstheme="minorHAnsi"/>
          <w:sz w:val="24"/>
          <w:szCs w:val="24"/>
        </w:rPr>
        <w:t xml:space="preserve"> cost estimating</w:t>
      </w:r>
      <w:r w:rsidRPr="00FF7AE9">
        <w:rPr>
          <w:rFonts w:asciiTheme="minorHAnsi" w:hAnsiTheme="minorHAnsi" w:cstheme="minorHAnsi"/>
          <w:sz w:val="24"/>
          <w:szCs w:val="24"/>
        </w:rPr>
        <w:t xml:space="preserve">. </w:t>
      </w:r>
    </w:p>
    <w:p w:rsidR="00941491" w:rsidRPr="00FF7AE9" w:rsidRDefault="00941491" w:rsidP="00941491">
      <w:pPr>
        <w:pStyle w:val="BodyText"/>
        <w:rPr>
          <w:rFonts w:asciiTheme="minorHAnsi" w:hAnsiTheme="minorHAnsi" w:cstheme="minorHAnsi"/>
          <w:color w:val="00ADEF"/>
          <w:sz w:val="24"/>
          <w:szCs w:val="24"/>
        </w:rPr>
      </w:pPr>
      <w:r w:rsidRPr="00FF7AE9">
        <w:rPr>
          <w:rFonts w:asciiTheme="minorHAnsi" w:hAnsiTheme="minorHAnsi" w:cstheme="minorHAnsi"/>
          <w:sz w:val="24"/>
          <w:szCs w:val="24"/>
        </w:rPr>
        <w:t xml:space="preserve">Qualifications will only be accepted from those </w:t>
      </w:r>
      <w:r w:rsidR="003C200C">
        <w:rPr>
          <w:rFonts w:asciiTheme="minorHAnsi" w:hAnsiTheme="minorHAnsi" w:cstheme="minorHAnsi"/>
          <w:sz w:val="24"/>
          <w:szCs w:val="24"/>
        </w:rPr>
        <w:t>firms</w:t>
      </w:r>
      <w:r w:rsidRPr="00FF7AE9">
        <w:rPr>
          <w:rFonts w:asciiTheme="minorHAnsi" w:hAnsiTheme="minorHAnsi" w:cstheme="minorHAnsi"/>
          <w:sz w:val="24"/>
          <w:szCs w:val="24"/>
        </w:rPr>
        <w:t xml:space="preserve"> demonstratin</w:t>
      </w:r>
      <w:r>
        <w:rPr>
          <w:rFonts w:asciiTheme="minorHAnsi" w:hAnsiTheme="minorHAnsi" w:cstheme="minorHAnsi"/>
          <w:sz w:val="24"/>
          <w:szCs w:val="24"/>
        </w:rPr>
        <w:t xml:space="preserve">g a </w:t>
      </w:r>
      <w:r w:rsidRPr="00FF7AE9">
        <w:rPr>
          <w:rFonts w:asciiTheme="minorHAnsi" w:hAnsiTheme="minorHAnsi" w:cstheme="minorHAnsi"/>
          <w:sz w:val="24"/>
          <w:szCs w:val="24"/>
        </w:rPr>
        <w:t>minimum of five (5) years of experience and who have c</w:t>
      </w:r>
      <w:r>
        <w:rPr>
          <w:rFonts w:asciiTheme="minorHAnsi" w:hAnsiTheme="minorHAnsi" w:cstheme="minorHAnsi"/>
          <w:sz w:val="24"/>
          <w:szCs w:val="24"/>
        </w:rPr>
        <w:t xml:space="preserve">ompleted projects providing the </w:t>
      </w:r>
      <w:r w:rsidRPr="00FF7AE9">
        <w:rPr>
          <w:rFonts w:asciiTheme="minorHAnsi" w:hAnsiTheme="minorHAnsi" w:cstheme="minorHAnsi"/>
          <w:sz w:val="24"/>
          <w:szCs w:val="24"/>
        </w:rPr>
        <w:t>services requested in this RFQ.  References that will veri</w:t>
      </w:r>
      <w:r>
        <w:rPr>
          <w:rFonts w:asciiTheme="minorHAnsi" w:hAnsiTheme="minorHAnsi" w:cstheme="minorHAnsi"/>
          <w:sz w:val="24"/>
          <w:szCs w:val="24"/>
        </w:rPr>
        <w:t xml:space="preserve">fy project experience should be </w:t>
      </w:r>
      <w:r w:rsidRPr="00FF7AE9">
        <w:rPr>
          <w:rFonts w:asciiTheme="minorHAnsi" w:hAnsiTheme="minorHAnsi" w:cstheme="minorHAnsi"/>
          <w:sz w:val="24"/>
          <w:szCs w:val="24"/>
        </w:rPr>
        <w:t>provided.</w:t>
      </w:r>
    </w:p>
    <w:p w:rsidR="00941491" w:rsidRPr="00965847" w:rsidRDefault="00941491" w:rsidP="00965847">
      <w:pPr>
        <w:pStyle w:val="BodyText"/>
        <w:rPr>
          <w:rFonts w:asciiTheme="minorHAnsi" w:hAnsiTheme="minorHAnsi" w:cstheme="minorHAnsi"/>
          <w:sz w:val="24"/>
          <w:szCs w:val="24"/>
        </w:rPr>
      </w:pPr>
      <w:r w:rsidRPr="00FF7AE9">
        <w:rPr>
          <w:rFonts w:asciiTheme="minorHAnsi" w:hAnsiTheme="minorHAnsi" w:cstheme="minorHAnsi"/>
          <w:sz w:val="24"/>
          <w:szCs w:val="24"/>
        </w:rPr>
        <w:t>Successful responde</w:t>
      </w:r>
      <w:r w:rsidR="003C200C">
        <w:rPr>
          <w:rFonts w:asciiTheme="minorHAnsi" w:hAnsiTheme="minorHAnsi" w:cstheme="minorHAnsi"/>
          <w:sz w:val="24"/>
          <w:szCs w:val="24"/>
        </w:rPr>
        <w:t xml:space="preserve">nts to this RFQ must present a </w:t>
      </w:r>
      <w:r w:rsidRPr="00FF7AE9">
        <w:rPr>
          <w:rFonts w:asciiTheme="minorHAnsi" w:hAnsiTheme="minorHAnsi" w:cstheme="minorHAnsi"/>
          <w:sz w:val="24"/>
          <w:szCs w:val="24"/>
        </w:rPr>
        <w:t xml:space="preserve">team of </w:t>
      </w:r>
      <w:r>
        <w:rPr>
          <w:rFonts w:asciiTheme="minorHAnsi" w:hAnsiTheme="minorHAnsi" w:cstheme="minorHAnsi"/>
          <w:sz w:val="24"/>
          <w:szCs w:val="24"/>
        </w:rPr>
        <w:t xml:space="preserve">individuals with a diversity </w:t>
      </w:r>
      <w:r w:rsidRPr="00FF7AE9">
        <w:rPr>
          <w:rFonts w:asciiTheme="minorHAnsi" w:hAnsiTheme="minorHAnsi" w:cstheme="minorHAnsi"/>
          <w:sz w:val="24"/>
          <w:szCs w:val="24"/>
        </w:rPr>
        <w:t>of skill sets in order to provide and manage all required areas o</w:t>
      </w:r>
      <w:r>
        <w:rPr>
          <w:rFonts w:asciiTheme="minorHAnsi" w:hAnsiTheme="minorHAnsi" w:cstheme="minorHAnsi"/>
          <w:sz w:val="24"/>
          <w:szCs w:val="24"/>
        </w:rPr>
        <w:t>f</w:t>
      </w:r>
      <w:r w:rsidR="003C200C">
        <w:rPr>
          <w:rFonts w:asciiTheme="minorHAnsi" w:hAnsiTheme="minorHAnsi" w:cstheme="minorHAnsi"/>
          <w:sz w:val="24"/>
          <w:szCs w:val="24"/>
        </w:rPr>
        <w:t xml:space="preserve"> the</w:t>
      </w:r>
      <w:r>
        <w:rPr>
          <w:rFonts w:asciiTheme="minorHAnsi" w:hAnsiTheme="minorHAnsi" w:cstheme="minorHAnsi"/>
          <w:sz w:val="24"/>
          <w:szCs w:val="24"/>
        </w:rPr>
        <w:t xml:space="preserve"> scope work.  A combination of </w:t>
      </w:r>
      <w:r w:rsidRPr="00FF7AE9">
        <w:rPr>
          <w:rFonts w:asciiTheme="minorHAnsi" w:hAnsiTheme="minorHAnsi" w:cstheme="minorHAnsi"/>
          <w:sz w:val="24"/>
          <w:szCs w:val="24"/>
        </w:rPr>
        <w:t>Prime Consultant and Sub-</w:t>
      </w:r>
      <w:r w:rsidR="003C200C" w:rsidRPr="00FF7AE9">
        <w:rPr>
          <w:rFonts w:asciiTheme="minorHAnsi" w:hAnsiTheme="minorHAnsi" w:cstheme="minorHAnsi"/>
          <w:sz w:val="24"/>
          <w:szCs w:val="24"/>
        </w:rPr>
        <w:t>consultant’s</w:t>
      </w:r>
      <w:r w:rsidRPr="00FF7AE9">
        <w:rPr>
          <w:rFonts w:asciiTheme="minorHAnsi" w:hAnsiTheme="minorHAnsi" w:cstheme="minorHAnsi"/>
          <w:sz w:val="24"/>
          <w:szCs w:val="24"/>
        </w:rPr>
        <w:t xml:space="preserve"> prequalification in </w:t>
      </w:r>
      <w:r w:rsidR="00BD5E0C">
        <w:rPr>
          <w:rFonts w:asciiTheme="minorHAnsi" w:hAnsiTheme="minorHAnsi" w:cstheme="minorHAnsi"/>
          <w:sz w:val="24"/>
          <w:szCs w:val="24"/>
        </w:rPr>
        <w:t>architectural/engineering s</w:t>
      </w:r>
      <w:r>
        <w:rPr>
          <w:rFonts w:asciiTheme="minorHAnsi" w:hAnsiTheme="minorHAnsi" w:cstheme="minorHAnsi"/>
          <w:sz w:val="24"/>
          <w:szCs w:val="24"/>
        </w:rPr>
        <w:t>ervices</w:t>
      </w:r>
      <w:r w:rsidR="00BD5E0C">
        <w:rPr>
          <w:rFonts w:asciiTheme="minorHAnsi" w:hAnsiTheme="minorHAnsi" w:cstheme="minorHAnsi"/>
          <w:sz w:val="24"/>
          <w:szCs w:val="24"/>
        </w:rPr>
        <w:t xml:space="preserve"> with experience in facility assessment</w:t>
      </w:r>
      <w:r w:rsidR="00171B78">
        <w:rPr>
          <w:rFonts w:asciiTheme="minorHAnsi" w:hAnsiTheme="minorHAnsi" w:cstheme="minorHAnsi"/>
          <w:sz w:val="24"/>
          <w:szCs w:val="24"/>
        </w:rPr>
        <w:t xml:space="preserve"> </w:t>
      </w:r>
      <w:r w:rsidRPr="00FF7AE9">
        <w:rPr>
          <w:rFonts w:asciiTheme="minorHAnsi" w:hAnsiTheme="minorHAnsi" w:cstheme="minorHAnsi"/>
          <w:sz w:val="24"/>
          <w:szCs w:val="24"/>
        </w:rPr>
        <w:t>is</w:t>
      </w:r>
      <w:r>
        <w:rPr>
          <w:rFonts w:asciiTheme="minorHAnsi" w:hAnsiTheme="minorHAnsi" w:cstheme="minorHAnsi"/>
          <w:sz w:val="24"/>
          <w:szCs w:val="24"/>
        </w:rPr>
        <w:t xml:space="preserve"> being sought.  Some respondent </w:t>
      </w:r>
      <w:r w:rsidR="003C200C">
        <w:rPr>
          <w:rFonts w:asciiTheme="minorHAnsi" w:hAnsiTheme="minorHAnsi" w:cstheme="minorHAnsi"/>
          <w:sz w:val="24"/>
          <w:szCs w:val="24"/>
        </w:rPr>
        <w:t>consulting firms</w:t>
      </w:r>
      <w:r w:rsidRPr="00FF7AE9">
        <w:rPr>
          <w:rFonts w:asciiTheme="minorHAnsi" w:hAnsiTheme="minorHAnsi" w:cstheme="minorHAnsi"/>
          <w:sz w:val="24"/>
          <w:szCs w:val="24"/>
        </w:rPr>
        <w:t xml:space="preserve"> may be multi-disciplinary enough to offer </w:t>
      </w:r>
      <w:r>
        <w:rPr>
          <w:rFonts w:asciiTheme="minorHAnsi" w:hAnsiTheme="minorHAnsi" w:cstheme="minorHAnsi"/>
          <w:sz w:val="24"/>
          <w:szCs w:val="24"/>
        </w:rPr>
        <w:t xml:space="preserve">all of the necessary skills “in </w:t>
      </w:r>
      <w:r w:rsidRPr="00FF7AE9">
        <w:rPr>
          <w:rFonts w:asciiTheme="minorHAnsi" w:hAnsiTheme="minorHAnsi" w:cstheme="minorHAnsi"/>
          <w:sz w:val="24"/>
          <w:szCs w:val="24"/>
        </w:rPr>
        <w:t>house</w:t>
      </w:r>
      <w:r w:rsidR="00171B78">
        <w:rPr>
          <w:rFonts w:asciiTheme="minorHAnsi" w:hAnsiTheme="minorHAnsi" w:cstheme="minorHAnsi"/>
          <w:sz w:val="24"/>
          <w:szCs w:val="24"/>
        </w:rPr>
        <w:t>.</w:t>
      </w:r>
      <w:r w:rsidRPr="00FF7AE9">
        <w:rPr>
          <w:rFonts w:asciiTheme="minorHAnsi" w:hAnsiTheme="minorHAnsi" w:cstheme="minorHAnsi"/>
          <w:sz w:val="24"/>
          <w:szCs w:val="24"/>
        </w:rPr>
        <w:t>”</w:t>
      </w:r>
      <w:r>
        <w:rPr>
          <w:rFonts w:asciiTheme="minorHAnsi" w:hAnsiTheme="minorHAnsi" w:cstheme="minorHAnsi"/>
          <w:sz w:val="24"/>
          <w:szCs w:val="24"/>
        </w:rPr>
        <w:t xml:space="preserve"> The City strongly encourages </w:t>
      </w:r>
      <w:r w:rsidRPr="00FF7AE9">
        <w:rPr>
          <w:rFonts w:asciiTheme="minorHAnsi" w:hAnsiTheme="minorHAnsi" w:cstheme="minorHAnsi"/>
          <w:sz w:val="24"/>
          <w:szCs w:val="24"/>
        </w:rPr>
        <w:t>respondents to consider inclusion of team members that are Northeast Ohio-based and/or</w:t>
      </w:r>
      <w:r>
        <w:rPr>
          <w:rFonts w:asciiTheme="minorHAnsi" w:hAnsiTheme="minorHAnsi" w:cstheme="minorHAnsi"/>
          <w:sz w:val="24"/>
          <w:szCs w:val="24"/>
        </w:rPr>
        <w:t xml:space="preserve"> </w:t>
      </w:r>
      <w:r w:rsidRPr="00FF7AE9">
        <w:rPr>
          <w:rFonts w:asciiTheme="minorHAnsi" w:hAnsiTheme="minorHAnsi" w:cstheme="minorHAnsi"/>
          <w:sz w:val="24"/>
          <w:szCs w:val="24"/>
        </w:rPr>
        <w:t>otherwise have a substantive body of knowledge or experience w</w:t>
      </w:r>
      <w:r>
        <w:rPr>
          <w:rFonts w:asciiTheme="minorHAnsi" w:hAnsiTheme="minorHAnsi" w:cstheme="minorHAnsi"/>
          <w:sz w:val="24"/>
          <w:szCs w:val="24"/>
        </w:rPr>
        <w:t xml:space="preserve">ithin </w:t>
      </w:r>
      <w:r w:rsidR="003C200C">
        <w:rPr>
          <w:rFonts w:asciiTheme="minorHAnsi" w:hAnsiTheme="minorHAnsi" w:cstheme="minorHAnsi"/>
          <w:sz w:val="24"/>
          <w:szCs w:val="24"/>
        </w:rPr>
        <w:t>the City of</w:t>
      </w:r>
      <w:r>
        <w:rPr>
          <w:rFonts w:asciiTheme="minorHAnsi" w:hAnsiTheme="minorHAnsi" w:cstheme="minorHAnsi"/>
          <w:sz w:val="24"/>
          <w:szCs w:val="24"/>
        </w:rPr>
        <w:t xml:space="preserve"> Canton.</w:t>
      </w:r>
    </w:p>
    <w:p w:rsidR="00965847" w:rsidRPr="00E36D16" w:rsidRDefault="00965847" w:rsidP="00965847">
      <w:pPr>
        <w:pStyle w:val="Pa2"/>
        <w:spacing w:before="140"/>
        <w:ind w:left="600" w:hanging="600"/>
        <w:rPr>
          <w:color w:val="000000" w:themeColor="text1"/>
          <w:sz w:val="32"/>
          <w:szCs w:val="32"/>
        </w:rPr>
      </w:pPr>
      <w:r w:rsidRPr="00E36D16">
        <w:rPr>
          <w:b/>
          <w:bCs/>
          <w:color w:val="000000" w:themeColor="text1"/>
          <w:sz w:val="32"/>
          <w:szCs w:val="32"/>
        </w:rPr>
        <w:t>3.2</w:t>
      </w:r>
      <w:r w:rsidRPr="00E36D16">
        <w:rPr>
          <w:b/>
          <w:bCs/>
          <w:color w:val="000000" w:themeColor="text1"/>
          <w:sz w:val="32"/>
          <w:szCs w:val="32"/>
        </w:rPr>
        <w:tab/>
        <w:t xml:space="preserve">Selection Procedures </w:t>
      </w:r>
    </w:p>
    <w:p w:rsidR="00030F87" w:rsidRPr="00D072C1" w:rsidRDefault="00030F87" w:rsidP="00030F87">
      <w:pPr>
        <w:autoSpaceDE w:val="0"/>
        <w:autoSpaceDN w:val="0"/>
        <w:adjustRightInd w:val="0"/>
        <w:spacing w:before="120" w:after="0" w:line="240" w:lineRule="auto"/>
        <w:textAlignment w:val="center"/>
        <w:rPr>
          <w:rFonts w:cstheme="minorHAnsi"/>
          <w:color w:val="000000" w:themeColor="text1"/>
          <w:sz w:val="24"/>
          <w:szCs w:val="24"/>
        </w:rPr>
      </w:pPr>
      <w:r w:rsidRPr="00D072C1">
        <w:rPr>
          <w:rFonts w:cstheme="minorHAnsi"/>
          <w:color w:val="000000" w:themeColor="text1"/>
          <w:sz w:val="24"/>
          <w:szCs w:val="24"/>
        </w:rPr>
        <w:t xml:space="preserve">Each Consultant Team/Firm(s) shall submit its qualifications in the number, form, and manner, and by the date and time; and at the location required in this </w:t>
      </w:r>
      <w:r w:rsidR="0037596D">
        <w:rPr>
          <w:rFonts w:cstheme="minorHAnsi"/>
          <w:color w:val="000000" w:themeColor="text1"/>
          <w:sz w:val="24"/>
          <w:szCs w:val="24"/>
        </w:rPr>
        <w:t>RFQ</w:t>
      </w:r>
      <w:r w:rsidRPr="00D072C1">
        <w:rPr>
          <w:rFonts w:cstheme="minorHAnsi"/>
          <w:color w:val="000000" w:themeColor="text1"/>
          <w:sz w:val="24"/>
          <w:szCs w:val="24"/>
        </w:rPr>
        <w:t>.</w:t>
      </w:r>
    </w:p>
    <w:p w:rsidR="00030F87" w:rsidRPr="00D072C1" w:rsidRDefault="00030F87" w:rsidP="00030F87">
      <w:pPr>
        <w:autoSpaceDE w:val="0"/>
        <w:autoSpaceDN w:val="0"/>
        <w:adjustRightInd w:val="0"/>
        <w:spacing w:before="120" w:after="0" w:line="240" w:lineRule="auto"/>
        <w:textAlignment w:val="center"/>
        <w:rPr>
          <w:rFonts w:cstheme="minorHAnsi"/>
          <w:color w:val="000000" w:themeColor="text1"/>
          <w:sz w:val="24"/>
          <w:szCs w:val="24"/>
        </w:rPr>
      </w:pPr>
      <w:r w:rsidRPr="00D072C1">
        <w:rPr>
          <w:rFonts w:cstheme="minorHAnsi"/>
          <w:color w:val="000000" w:themeColor="text1"/>
          <w:sz w:val="24"/>
          <w:szCs w:val="24"/>
        </w:rPr>
        <w:t xml:space="preserve">Firms interested in being considered for selection should respond by submitting an original and five (5) complete duplicates of your Letter of Interest; in hard copy (double-sided) and an electronic PDF copy on USB Flash Drive or CD-ROM to the following address by 4:00 p.m., Eastern Time on, </w:t>
      </w:r>
      <w:r w:rsidR="00A753FB">
        <w:rPr>
          <w:rFonts w:cstheme="minorHAnsi"/>
          <w:color w:val="000000" w:themeColor="text1"/>
          <w:sz w:val="24"/>
          <w:szCs w:val="24"/>
        </w:rPr>
        <w:t>April 4</w:t>
      </w:r>
      <w:r w:rsidRPr="00D072C1">
        <w:rPr>
          <w:rFonts w:cstheme="minorHAnsi"/>
          <w:color w:val="000000" w:themeColor="text1"/>
          <w:sz w:val="24"/>
          <w:szCs w:val="24"/>
        </w:rPr>
        <w:t>, 2022; as outlined in the schedule/time-line here-within.</w:t>
      </w:r>
    </w:p>
    <w:p w:rsidR="00030F87" w:rsidRPr="00D072C1" w:rsidRDefault="00030F87" w:rsidP="00030F87">
      <w:pPr>
        <w:autoSpaceDE w:val="0"/>
        <w:autoSpaceDN w:val="0"/>
        <w:adjustRightInd w:val="0"/>
        <w:spacing w:before="120" w:after="0" w:line="240" w:lineRule="auto"/>
        <w:textAlignment w:val="center"/>
        <w:rPr>
          <w:rFonts w:cstheme="minorHAnsi"/>
          <w:color w:val="000000" w:themeColor="text1"/>
          <w:sz w:val="24"/>
          <w:szCs w:val="24"/>
        </w:rPr>
      </w:pPr>
      <w:r w:rsidRPr="00D072C1">
        <w:rPr>
          <w:rFonts w:cstheme="minorHAnsi"/>
          <w:color w:val="000000" w:themeColor="text1"/>
          <w:sz w:val="24"/>
          <w:szCs w:val="24"/>
        </w:rPr>
        <w:tab/>
        <w:t>Canton City Hall</w:t>
      </w:r>
    </w:p>
    <w:p w:rsidR="00030F87" w:rsidRPr="00D072C1" w:rsidRDefault="00030F87" w:rsidP="00030F87">
      <w:pPr>
        <w:autoSpaceDE w:val="0"/>
        <w:autoSpaceDN w:val="0"/>
        <w:adjustRightInd w:val="0"/>
        <w:spacing w:after="0" w:line="240" w:lineRule="auto"/>
        <w:textAlignment w:val="center"/>
        <w:rPr>
          <w:rFonts w:cstheme="minorHAnsi"/>
          <w:color w:val="000000" w:themeColor="text1"/>
          <w:sz w:val="24"/>
          <w:szCs w:val="24"/>
        </w:rPr>
      </w:pPr>
      <w:r w:rsidRPr="00D072C1">
        <w:rPr>
          <w:rFonts w:cstheme="minorHAnsi"/>
          <w:color w:val="000000" w:themeColor="text1"/>
          <w:sz w:val="24"/>
          <w:szCs w:val="24"/>
        </w:rPr>
        <w:tab/>
        <w:t>Department of Purchasing</w:t>
      </w:r>
    </w:p>
    <w:p w:rsidR="00030F87" w:rsidRPr="00D072C1" w:rsidRDefault="00030F87" w:rsidP="00030F87">
      <w:pPr>
        <w:autoSpaceDE w:val="0"/>
        <w:autoSpaceDN w:val="0"/>
        <w:adjustRightInd w:val="0"/>
        <w:spacing w:after="0" w:line="240" w:lineRule="auto"/>
        <w:textAlignment w:val="center"/>
        <w:rPr>
          <w:rFonts w:cstheme="minorHAnsi"/>
          <w:color w:val="000000" w:themeColor="text1"/>
          <w:sz w:val="24"/>
          <w:szCs w:val="24"/>
        </w:rPr>
      </w:pPr>
      <w:r w:rsidRPr="00D072C1">
        <w:rPr>
          <w:rFonts w:cstheme="minorHAnsi"/>
          <w:color w:val="000000" w:themeColor="text1"/>
          <w:sz w:val="24"/>
          <w:szCs w:val="24"/>
        </w:rPr>
        <w:lastRenderedPageBreak/>
        <w:tab/>
        <w:t>218 Cleveland Avenue SW, 4</w:t>
      </w:r>
      <w:r w:rsidRPr="00D072C1">
        <w:rPr>
          <w:rFonts w:cstheme="minorHAnsi"/>
          <w:color w:val="000000" w:themeColor="text1"/>
          <w:sz w:val="24"/>
          <w:szCs w:val="24"/>
          <w:vertAlign w:val="superscript"/>
        </w:rPr>
        <w:t>th</w:t>
      </w:r>
      <w:r w:rsidRPr="00D072C1">
        <w:rPr>
          <w:rFonts w:cstheme="minorHAnsi"/>
          <w:color w:val="000000" w:themeColor="text1"/>
          <w:sz w:val="24"/>
          <w:szCs w:val="24"/>
        </w:rPr>
        <w:t xml:space="preserve"> Floor</w:t>
      </w:r>
    </w:p>
    <w:p w:rsidR="00030F87" w:rsidRPr="00D072C1" w:rsidRDefault="00030F87" w:rsidP="00030F87">
      <w:pPr>
        <w:autoSpaceDE w:val="0"/>
        <w:autoSpaceDN w:val="0"/>
        <w:adjustRightInd w:val="0"/>
        <w:spacing w:after="0" w:line="240" w:lineRule="auto"/>
        <w:textAlignment w:val="center"/>
        <w:rPr>
          <w:rFonts w:cstheme="minorHAnsi"/>
          <w:color w:val="000000" w:themeColor="text1"/>
          <w:sz w:val="24"/>
          <w:szCs w:val="24"/>
        </w:rPr>
      </w:pPr>
      <w:r w:rsidRPr="00D072C1">
        <w:rPr>
          <w:rFonts w:cstheme="minorHAnsi"/>
          <w:color w:val="000000" w:themeColor="text1"/>
          <w:sz w:val="24"/>
          <w:szCs w:val="24"/>
        </w:rPr>
        <w:tab/>
        <w:t>Canton, OH 44702</w:t>
      </w:r>
    </w:p>
    <w:p w:rsidR="00030F87" w:rsidRPr="00D072C1" w:rsidRDefault="00030F87" w:rsidP="00030F87">
      <w:pPr>
        <w:autoSpaceDE w:val="0"/>
        <w:autoSpaceDN w:val="0"/>
        <w:adjustRightInd w:val="0"/>
        <w:spacing w:after="0" w:line="240" w:lineRule="auto"/>
        <w:textAlignment w:val="center"/>
        <w:rPr>
          <w:rFonts w:cstheme="minorHAnsi"/>
          <w:color w:val="000000" w:themeColor="text1"/>
          <w:sz w:val="24"/>
          <w:szCs w:val="24"/>
        </w:rPr>
      </w:pPr>
      <w:r w:rsidRPr="00D072C1">
        <w:rPr>
          <w:rFonts w:cstheme="minorHAnsi"/>
          <w:color w:val="000000" w:themeColor="text1"/>
          <w:sz w:val="24"/>
          <w:szCs w:val="24"/>
        </w:rPr>
        <w:tab/>
        <w:t>Attn: Andrew Roth, Director of Purchasing</w:t>
      </w:r>
    </w:p>
    <w:p w:rsidR="00030F87" w:rsidRPr="00D072C1" w:rsidRDefault="00030F87" w:rsidP="00030F87">
      <w:pPr>
        <w:autoSpaceDE w:val="0"/>
        <w:autoSpaceDN w:val="0"/>
        <w:adjustRightInd w:val="0"/>
        <w:spacing w:before="120" w:after="0" w:line="240" w:lineRule="auto"/>
        <w:textAlignment w:val="center"/>
        <w:rPr>
          <w:rFonts w:cstheme="minorHAnsi"/>
          <w:color w:val="000000" w:themeColor="text1"/>
          <w:sz w:val="24"/>
          <w:szCs w:val="24"/>
        </w:rPr>
      </w:pPr>
      <w:r w:rsidRPr="00D072C1">
        <w:rPr>
          <w:rFonts w:cstheme="minorHAnsi"/>
          <w:color w:val="000000" w:themeColor="text1"/>
          <w:sz w:val="24"/>
          <w:szCs w:val="24"/>
        </w:rPr>
        <w:t>Responses received after 4:00 PM on the response due date will not be considered.</w:t>
      </w:r>
    </w:p>
    <w:p w:rsidR="00030F87" w:rsidRPr="00D072C1" w:rsidRDefault="00030F87" w:rsidP="00030F87">
      <w:pPr>
        <w:autoSpaceDE w:val="0"/>
        <w:autoSpaceDN w:val="0"/>
        <w:adjustRightInd w:val="0"/>
        <w:spacing w:before="120" w:after="0" w:line="240" w:lineRule="auto"/>
        <w:textAlignment w:val="center"/>
        <w:rPr>
          <w:rFonts w:cstheme="minorHAnsi"/>
          <w:b/>
          <w:bCs/>
          <w:color w:val="000000" w:themeColor="text1"/>
          <w:sz w:val="24"/>
          <w:szCs w:val="24"/>
        </w:rPr>
      </w:pPr>
      <w:r w:rsidRPr="00D072C1">
        <w:rPr>
          <w:rFonts w:cstheme="minorHAnsi"/>
          <w:b/>
          <w:bCs/>
          <w:color w:val="000000" w:themeColor="text1"/>
          <w:sz w:val="24"/>
          <w:szCs w:val="24"/>
        </w:rPr>
        <w:t>Familiarity, Responsibility, and Interpretation</w:t>
      </w:r>
    </w:p>
    <w:p w:rsidR="00030F87" w:rsidRPr="00D072C1" w:rsidRDefault="00030F87" w:rsidP="00030F87">
      <w:pPr>
        <w:autoSpaceDE w:val="0"/>
        <w:autoSpaceDN w:val="0"/>
        <w:adjustRightInd w:val="0"/>
        <w:spacing w:before="120" w:after="0" w:line="240" w:lineRule="auto"/>
        <w:textAlignment w:val="center"/>
        <w:rPr>
          <w:rFonts w:cstheme="minorHAnsi"/>
          <w:color w:val="000000" w:themeColor="text1"/>
          <w:sz w:val="24"/>
          <w:szCs w:val="24"/>
        </w:rPr>
      </w:pPr>
      <w:r w:rsidRPr="00D072C1">
        <w:rPr>
          <w:rFonts w:cstheme="minorHAnsi"/>
          <w:color w:val="000000" w:themeColor="text1"/>
          <w:sz w:val="24"/>
          <w:szCs w:val="24"/>
        </w:rPr>
        <w:t>By submission of a proposal, the Consultant Team/Firm(s) acknowledges that it is aware of and understands all requirements in this advertisement and that its failure to become familiar with all the information outlined prior to the proposal submission deadline, will not relieve it from responsibility for all parts of its proposal; and, if selected for contract, its complete performance of the contract in compliance with its terms. Consultant Team/Firm(s) acknowledges that the City of Canton has no responsibility for any conclusions or interpretations made within the Letter(s) of Interest.</w:t>
      </w:r>
    </w:p>
    <w:p w:rsidR="00030F87" w:rsidRPr="00D072C1" w:rsidRDefault="00030F87" w:rsidP="00030F87">
      <w:pPr>
        <w:autoSpaceDE w:val="0"/>
        <w:autoSpaceDN w:val="0"/>
        <w:adjustRightInd w:val="0"/>
        <w:spacing w:before="120" w:after="0" w:line="240" w:lineRule="auto"/>
        <w:textAlignment w:val="center"/>
        <w:rPr>
          <w:rFonts w:cstheme="minorHAnsi"/>
          <w:color w:val="000000" w:themeColor="text1"/>
          <w:sz w:val="24"/>
          <w:szCs w:val="24"/>
        </w:rPr>
      </w:pPr>
      <w:r w:rsidRPr="00D072C1">
        <w:rPr>
          <w:rFonts w:cstheme="minorHAnsi"/>
          <w:color w:val="000000" w:themeColor="text1"/>
          <w:sz w:val="24"/>
          <w:szCs w:val="24"/>
        </w:rPr>
        <w:t>The City of Canton is not responsible for providing any explanation, clarification, or interpretation concerning this advertisement, except by written request for information.</w:t>
      </w:r>
    </w:p>
    <w:p w:rsidR="00D072C1" w:rsidRPr="00D072C1" w:rsidRDefault="00030F87" w:rsidP="00030F87">
      <w:pPr>
        <w:autoSpaceDE w:val="0"/>
        <w:autoSpaceDN w:val="0"/>
        <w:adjustRightInd w:val="0"/>
        <w:spacing w:before="120" w:after="0" w:line="240" w:lineRule="auto"/>
        <w:textAlignment w:val="center"/>
        <w:rPr>
          <w:rFonts w:cstheme="minorHAnsi"/>
          <w:color w:val="000000" w:themeColor="text1"/>
          <w:sz w:val="24"/>
          <w:szCs w:val="24"/>
        </w:rPr>
      </w:pPr>
      <w:r w:rsidRPr="00D072C1">
        <w:rPr>
          <w:rFonts w:cstheme="minorHAnsi"/>
          <w:color w:val="000000" w:themeColor="text1"/>
          <w:sz w:val="24"/>
          <w:szCs w:val="24"/>
        </w:rPr>
        <w:t>If questions arise, or if an intended meaning of any part of this is unclear or in doubt, send a written request for clarification or interpretation via the City’s bid and p</w:t>
      </w:r>
      <w:r w:rsidR="00D072C1" w:rsidRPr="00D072C1">
        <w:rPr>
          <w:rFonts w:cstheme="minorHAnsi"/>
          <w:color w:val="000000" w:themeColor="text1"/>
          <w:sz w:val="24"/>
          <w:szCs w:val="24"/>
        </w:rPr>
        <w:t>roposal tool, Vendor Registry.</w:t>
      </w:r>
    </w:p>
    <w:p w:rsidR="00030F87" w:rsidRPr="00D072C1" w:rsidRDefault="00030F87" w:rsidP="00030F87">
      <w:pPr>
        <w:autoSpaceDE w:val="0"/>
        <w:autoSpaceDN w:val="0"/>
        <w:adjustRightInd w:val="0"/>
        <w:spacing w:before="120" w:after="0" w:line="240" w:lineRule="auto"/>
        <w:textAlignment w:val="center"/>
        <w:rPr>
          <w:rFonts w:cstheme="minorHAnsi"/>
          <w:b/>
          <w:bCs/>
          <w:color w:val="000000" w:themeColor="text1"/>
          <w:sz w:val="24"/>
          <w:szCs w:val="24"/>
        </w:rPr>
      </w:pPr>
      <w:r w:rsidRPr="00D072C1">
        <w:rPr>
          <w:rFonts w:cstheme="minorHAnsi"/>
          <w:b/>
          <w:bCs/>
          <w:color w:val="000000" w:themeColor="text1"/>
          <w:sz w:val="24"/>
          <w:szCs w:val="24"/>
        </w:rPr>
        <w:t>Scope of Services</w:t>
      </w:r>
    </w:p>
    <w:p w:rsidR="00030F87" w:rsidRPr="00D072C1" w:rsidRDefault="00030F87" w:rsidP="00030F87">
      <w:pPr>
        <w:autoSpaceDE w:val="0"/>
        <w:autoSpaceDN w:val="0"/>
        <w:adjustRightInd w:val="0"/>
        <w:spacing w:before="144" w:after="0" w:line="242" w:lineRule="atLeast"/>
        <w:textAlignment w:val="center"/>
        <w:rPr>
          <w:rFonts w:cstheme="minorHAnsi"/>
          <w:color w:val="000000" w:themeColor="text1"/>
          <w:sz w:val="24"/>
          <w:szCs w:val="24"/>
        </w:rPr>
      </w:pPr>
      <w:r w:rsidRPr="00D072C1">
        <w:rPr>
          <w:rFonts w:cstheme="minorHAnsi"/>
          <w:color w:val="000000" w:themeColor="text1"/>
          <w:sz w:val="24"/>
          <w:szCs w:val="24"/>
        </w:rPr>
        <w:t>Each Consultant Team/Firm(s) shall carefully read, and provide all information requested. The Letter of Interest must be organized to address each of the elements outlined in the ‘Scope of Services,’ and study deliverables in the order listed here-within</w:t>
      </w:r>
      <w:r w:rsidR="005E4BC4" w:rsidRPr="00D072C1">
        <w:rPr>
          <w:rFonts w:cstheme="minorHAnsi"/>
          <w:color w:val="000000" w:themeColor="text1"/>
          <w:sz w:val="24"/>
          <w:szCs w:val="24"/>
        </w:rPr>
        <w:t>.</w:t>
      </w:r>
    </w:p>
    <w:p w:rsidR="00965847" w:rsidRPr="00E36D16" w:rsidRDefault="00965847" w:rsidP="00965847">
      <w:pPr>
        <w:pStyle w:val="Pa2"/>
        <w:spacing w:before="140"/>
        <w:ind w:left="600" w:hanging="600"/>
        <w:rPr>
          <w:color w:val="000000" w:themeColor="text1"/>
          <w:sz w:val="32"/>
          <w:szCs w:val="32"/>
        </w:rPr>
      </w:pPr>
      <w:r w:rsidRPr="00E36D16">
        <w:rPr>
          <w:b/>
          <w:bCs/>
          <w:color w:val="000000" w:themeColor="text1"/>
          <w:sz w:val="32"/>
          <w:szCs w:val="32"/>
        </w:rPr>
        <w:t>3.3</w:t>
      </w:r>
      <w:r w:rsidRPr="00E36D16">
        <w:rPr>
          <w:b/>
          <w:bCs/>
          <w:color w:val="000000" w:themeColor="text1"/>
          <w:sz w:val="32"/>
          <w:szCs w:val="32"/>
        </w:rPr>
        <w:tab/>
        <w:t xml:space="preserve">Requirements </w:t>
      </w:r>
    </w:p>
    <w:p w:rsidR="00941491" w:rsidRPr="0037596D" w:rsidRDefault="00941491" w:rsidP="00941491">
      <w:pPr>
        <w:pStyle w:val="03Heading"/>
        <w:spacing w:before="120" w:line="240" w:lineRule="auto"/>
        <w:rPr>
          <w:b w:val="0"/>
          <w:bCs w:val="0"/>
          <w:color w:val="000000" w:themeColor="text1"/>
          <w:sz w:val="28"/>
          <w:szCs w:val="28"/>
          <w:u w:val="single"/>
        </w:rPr>
      </w:pPr>
      <w:r w:rsidRPr="0037596D">
        <w:rPr>
          <w:color w:val="000000" w:themeColor="text1"/>
          <w:sz w:val="28"/>
          <w:szCs w:val="28"/>
          <w:u w:val="single"/>
        </w:rPr>
        <w:t>Preparing</w:t>
      </w:r>
      <w:r w:rsidR="0037596D" w:rsidRPr="0037596D">
        <w:rPr>
          <w:color w:val="000000" w:themeColor="text1"/>
          <w:sz w:val="28"/>
          <w:szCs w:val="28"/>
          <w:u w:val="single"/>
        </w:rPr>
        <w:t xml:space="preserve"> and Submitting Qualifications</w:t>
      </w:r>
    </w:p>
    <w:p w:rsidR="00941491" w:rsidRPr="0037596D" w:rsidRDefault="00941491" w:rsidP="0037596D">
      <w:pPr>
        <w:pStyle w:val="Default"/>
        <w:spacing w:before="120"/>
        <w:rPr>
          <w:color w:val="000000" w:themeColor="text1"/>
        </w:rPr>
      </w:pPr>
      <w:r w:rsidRPr="0037596D">
        <w:rPr>
          <w:color w:val="000000" w:themeColor="text1"/>
        </w:rPr>
        <w:t>Each qualifications package shall include the following parts in the below order. Please separate and identify each part by tabs for quick reference. Each qualifications package should be organized so as to facilitate its evaluation. Qualification packages are limited to</w:t>
      </w:r>
      <w:r w:rsidR="0037596D" w:rsidRPr="0037596D">
        <w:rPr>
          <w:color w:val="000000" w:themeColor="text1"/>
        </w:rPr>
        <w:t xml:space="preserve"> 50 pages (i.e. 25 double-sided </w:t>
      </w:r>
      <w:r w:rsidRPr="0037596D">
        <w:rPr>
          <w:color w:val="000000" w:themeColor="text1"/>
        </w:rPr>
        <w:t xml:space="preserve">pages). </w:t>
      </w:r>
    </w:p>
    <w:p w:rsidR="00941491" w:rsidRPr="0037596D" w:rsidRDefault="00941491" w:rsidP="00941491">
      <w:pPr>
        <w:pStyle w:val="Default"/>
        <w:numPr>
          <w:ilvl w:val="0"/>
          <w:numId w:val="14"/>
        </w:numPr>
        <w:spacing w:after="22"/>
        <w:rPr>
          <w:color w:val="000000" w:themeColor="text1"/>
        </w:rPr>
      </w:pPr>
      <w:r w:rsidRPr="0037596D">
        <w:rPr>
          <w:color w:val="000000" w:themeColor="text1"/>
        </w:rPr>
        <w:t xml:space="preserve">Please adhere to the following requirements in preparing and Letters of Interest: </w:t>
      </w:r>
    </w:p>
    <w:p w:rsidR="00941491" w:rsidRPr="0037596D" w:rsidRDefault="00941491" w:rsidP="00941491">
      <w:pPr>
        <w:pStyle w:val="Default"/>
        <w:numPr>
          <w:ilvl w:val="1"/>
          <w:numId w:val="14"/>
        </w:numPr>
        <w:spacing w:after="22"/>
        <w:rPr>
          <w:color w:val="000000" w:themeColor="text1"/>
        </w:rPr>
      </w:pPr>
      <w:r w:rsidRPr="0037596D">
        <w:rPr>
          <w:color w:val="000000" w:themeColor="text1"/>
        </w:rPr>
        <w:t xml:space="preserve">Utilize a minimum font size of 12-point and maintain margins of 1” on all four sides. </w:t>
      </w:r>
    </w:p>
    <w:p w:rsidR="00941491" w:rsidRPr="0037596D" w:rsidRDefault="00941491" w:rsidP="00941491">
      <w:pPr>
        <w:pStyle w:val="Default"/>
        <w:numPr>
          <w:ilvl w:val="1"/>
          <w:numId w:val="14"/>
        </w:numPr>
        <w:spacing w:after="22"/>
        <w:rPr>
          <w:color w:val="000000" w:themeColor="text1"/>
        </w:rPr>
      </w:pPr>
      <w:r w:rsidRPr="0037596D">
        <w:rPr>
          <w:color w:val="000000" w:themeColor="text1"/>
        </w:rPr>
        <w:t xml:space="preserve">Page numbers must be centered at the bottom of each page. </w:t>
      </w:r>
    </w:p>
    <w:p w:rsidR="00941491" w:rsidRPr="0037596D" w:rsidRDefault="00941491" w:rsidP="00941491">
      <w:pPr>
        <w:pStyle w:val="Default"/>
        <w:numPr>
          <w:ilvl w:val="1"/>
          <w:numId w:val="14"/>
        </w:numPr>
        <w:spacing w:after="22"/>
        <w:rPr>
          <w:color w:val="000000" w:themeColor="text1"/>
        </w:rPr>
      </w:pPr>
      <w:r w:rsidRPr="0037596D">
        <w:rPr>
          <w:color w:val="000000" w:themeColor="text1"/>
        </w:rPr>
        <w:t xml:space="preserve">Use 8½” x 11” paper only (11” x 17” fold-out pages are acceptable). </w:t>
      </w:r>
    </w:p>
    <w:p w:rsidR="003F0F62" w:rsidRPr="00D072C1" w:rsidRDefault="003F0F62" w:rsidP="003F0F62">
      <w:pPr>
        <w:autoSpaceDE w:val="0"/>
        <w:autoSpaceDN w:val="0"/>
        <w:adjustRightInd w:val="0"/>
        <w:spacing w:before="120" w:after="0" w:line="240" w:lineRule="auto"/>
        <w:textAlignment w:val="center"/>
        <w:rPr>
          <w:rFonts w:cstheme="minorHAnsi"/>
          <w:b/>
          <w:bCs/>
          <w:color w:val="000000" w:themeColor="text1"/>
          <w:sz w:val="24"/>
          <w:szCs w:val="24"/>
        </w:rPr>
      </w:pPr>
      <w:r w:rsidRPr="00D072C1">
        <w:rPr>
          <w:rFonts w:cstheme="minorHAnsi"/>
          <w:b/>
          <w:bCs/>
          <w:color w:val="000000" w:themeColor="text1"/>
          <w:sz w:val="24"/>
          <w:szCs w:val="24"/>
        </w:rPr>
        <w:t>Cover Letter</w:t>
      </w:r>
    </w:p>
    <w:p w:rsidR="003F0F62" w:rsidRPr="00D072C1" w:rsidRDefault="003F0F62" w:rsidP="0037596D">
      <w:pPr>
        <w:autoSpaceDE w:val="0"/>
        <w:autoSpaceDN w:val="0"/>
        <w:adjustRightInd w:val="0"/>
        <w:spacing w:before="120" w:after="0" w:line="240" w:lineRule="auto"/>
        <w:textAlignment w:val="center"/>
        <w:rPr>
          <w:rFonts w:cstheme="minorHAnsi"/>
          <w:color w:val="000000" w:themeColor="text1"/>
          <w:sz w:val="24"/>
          <w:szCs w:val="24"/>
        </w:rPr>
      </w:pPr>
      <w:r w:rsidRPr="00D072C1">
        <w:rPr>
          <w:rFonts w:cstheme="minorHAnsi"/>
          <w:color w:val="000000" w:themeColor="text1"/>
          <w:sz w:val="24"/>
          <w:szCs w:val="24"/>
        </w:rPr>
        <w:t>The cover letter shall identify and introduce the firm and provide other general information about firm’s business organization including, at least, in one or more attachments or in the proposal, firm’s name, principal address, telephone number and email address.</w:t>
      </w:r>
    </w:p>
    <w:p w:rsidR="003F0F62" w:rsidRPr="00D072C1" w:rsidRDefault="003F0F62" w:rsidP="003F0F62">
      <w:pPr>
        <w:autoSpaceDE w:val="0"/>
        <w:autoSpaceDN w:val="0"/>
        <w:adjustRightInd w:val="0"/>
        <w:spacing w:before="120" w:after="0" w:line="240" w:lineRule="auto"/>
        <w:textAlignment w:val="center"/>
        <w:rPr>
          <w:rFonts w:cstheme="minorHAnsi"/>
          <w:color w:val="000000" w:themeColor="text1"/>
          <w:sz w:val="24"/>
          <w:szCs w:val="24"/>
        </w:rPr>
      </w:pPr>
      <w:r w:rsidRPr="00D072C1">
        <w:rPr>
          <w:rFonts w:cstheme="minorHAnsi"/>
          <w:color w:val="000000" w:themeColor="text1"/>
          <w:sz w:val="24"/>
          <w:szCs w:val="24"/>
        </w:rPr>
        <w:t>If using subcontractors, state the name of each firm participating in the proposal, each subcontractor’s responsibilities, and each subcontractor’s experience related to their proposed responsibilities.</w:t>
      </w:r>
    </w:p>
    <w:p w:rsidR="003F0F62" w:rsidRPr="00D072C1" w:rsidRDefault="003F0F62" w:rsidP="0037596D">
      <w:pPr>
        <w:autoSpaceDE w:val="0"/>
        <w:autoSpaceDN w:val="0"/>
        <w:adjustRightInd w:val="0"/>
        <w:spacing w:before="120" w:after="0" w:line="240" w:lineRule="auto"/>
        <w:textAlignment w:val="center"/>
        <w:rPr>
          <w:rFonts w:cstheme="minorHAnsi"/>
          <w:b/>
          <w:bCs/>
          <w:color w:val="000000" w:themeColor="text1"/>
          <w:sz w:val="24"/>
          <w:szCs w:val="24"/>
        </w:rPr>
      </w:pPr>
      <w:r w:rsidRPr="00D072C1">
        <w:rPr>
          <w:rFonts w:cstheme="minorHAnsi"/>
          <w:b/>
          <w:bCs/>
          <w:color w:val="000000" w:themeColor="text1"/>
          <w:sz w:val="24"/>
          <w:szCs w:val="24"/>
        </w:rPr>
        <w:t>Executive Summary</w:t>
      </w:r>
    </w:p>
    <w:p w:rsidR="003F0F62" w:rsidRPr="00D072C1" w:rsidRDefault="003F0F62" w:rsidP="003F0F62">
      <w:pPr>
        <w:autoSpaceDE w:val="0"/>
        <w:autoSpaceDN w:val="0"/>
        <w:adjustRightInd w:val="0"/>
        <w:spacing w:before="120" w:after="0" w:line="240" w:lineRule="auto"/>
        <w:textAlignment w:val="center"/>
        <w:rPr>
          <w:rFonts w:cstheme="minorHAnsi"/>
          <w:color w:val="000000" w:themeColor="text1"/>
          <w:sz w:val="24"/>
          <w:szCs w:val="24"/>
        </w:rPr>
      </w:pPr>
      <w:r w:rsidRPr="00D072C1">
        <w:rPr>
          <w:rFonts w:cstheme="minorHAnsi"/>
          <w:color w:val="000000" w:themeColor="text1"/>
          <w:sz w:val="24"/>
          <w:szCs w:val="24"/>
        </w:rPr>
        <w:t xml:space="preserve">The executive summary should provide a complete and concise summary of the Consultant Team/Firm(s) background, areas(s) and level(s) of expertise, relevant experience and ability to meet the requirements of this advertisement, and should briefly state why the Consultant Team/Firm(s) is the best candidate for the </w:t>
      </w:r>
      <w:r w:rsidRPr="00D072C1">
        <w:rPr>
          <w:rFonts w:cstheme="minorHAnsi"/>
          <w:color w:val="000000" w:themeColor="text1"/>
          <w:sz w:val="24"/>
          <w:szCs w:val="24"/>
        </w:rPr>
        <w:lastRenderedPageBreak/>
        <w:t>engagement. The summary should be organized so it can serve as a stand-alone summary apart from the remainder of the proposal.</w:t>
      </w:r>
    </w:p>
    <w:p w:rsidR="003F0F62" w:rsidRPr="00D072C1" w:rsidRDefault="003F0F62" w:rsidP="003F0F62">
      <w:pPr>
        <w:autoSpaceDE w:val="0"/>
        <w:autoSpaceDN w:val="0"/>
        <w:adjustRightInd w:val="0"/>
        <w:spacing w:before="120" w:after="0" w:line="240" w:lineRule="auto"/>
        <w:textAlignment w:val="center"/>
        <w:rPr>
          <w:rFonts w:cstheme="minorHAnsi"/>
          <w:color w:val="000000" w:themeColor="text1"/>
          <w:sz w:val="24"/>
          <w:szCs w:val="24"/>
        </w:rPr>
      </w:pPr>
      <w:r w:rsidRPr="00D072C1">
        <w:rPr>
          <w:rFonts w:cstheme="minorHAnsi"/>
          <w:b/>
          <w:bCs/>
          <w:color w:val="000000" w:themeColor="text1"/>
          <w:sz w:val="24"/>
          <w:szCs w:val="24"/>
        </w:rPr>
        <w:t>Qualifications</w:t>
      </w:r>
    </w:p>
    <w:p w:rsidR="003F0F62" w:rsidRPr="00D072C1" w:rsidRDefault="003F0F62" w:rsidP="003F0F62">
      <w:pPr>
        <w:autoSpaceDE w:val="0"/>
        <w:autoSpaceDN w:val="0"/>
        <w:adjustRightInd w:val="0"/>
        <w:spacing w:before="120" w:after="0" w:line="240" w:lineRule="auto"/>
        <w:textAlignment w:val="center"/>
        <w:rPr>
          <w:rFonts w:cstheme="minorHAnsi"/>
          <w:color w:val="000000" w:themeColor="text1"/>
          <w:sz w:val="24"/>
          <w:szCs w:val="24"/>
        </w:rPr>
      </w:pPr>
      <w:r w:rsidRPr="00D072C1">
        <w:rPr>
          <w:rFonts w:cstheme="minorHAnsi"/>
          <w:color w:val="000000" w:themeColor="text1"/>
          <w:sz w:val="24"/>
          <w:szCs w:val="24"/>
        </w:rPr>
        <w:t xml:space="preserve">In the qualifications section, each Consultant Team/Firm(s) should state in detail its qualifications, and experience, and how its services and/or approach are unique and best suited to meet the requirements and intent of this </w:t>
      </w:r>
      <w:r w:rsidR="0037596D">
        <w:rPr>
          <w:rFonts w:cstheme="minorHAnsi"/>
          <w:color w:val="000000" w:themeColor="text1"/>
          <w:sz w:val="24"/>
          <w:szCs w:val="24"/>
        </w:rPr>
        <w:t>RFQ</w:t>
      </w:r>
      <w:r w:rsidRPr="00D072C1">
        <w:rPr>
          <w:rFonts w:cstheme="minorHAnsi"/>
          <w:color w:val="000000" w:themeColor="text1"/>
          <w:sz w:val="24"/>
          <w:szCs w:val="24"/>
        </w:rPr>
        <w:t>. Consultant Team/Firm(s) may include as much information as needed to differentiate its services and product(s) from other submissions.</w:t>
      </w:r>
    </w:p>
    <w:p w:rsidR="003F0F62" w:rsidRPr="00D072C1" w:rsidRDefault="003F0F62" w:rsidP="003F0F62">
      <w:pPr>
        <w:autoSpaceDE w:val="0"/>
        <w:autoSpaceDN w:val="0"/>
        <w:adjustRightInd w:val="0"/>
        <w:spacing w:before="120" w:after="0" w:line="240" w:lineRule="auto"/>
        <w:textAlignment w:val="center"/>
        <w:rPr>
          <w:rFonts w:cstheme="minorHAnsi"/>
          <w:color w:val="000000" w:themeColor="text1"/>
          <w:sz w:val="24"/>
          <w:szCs w:val="24"/>
        </w:rPr>
      </w:pPr>
      <w:r w:rsidRPr="00D072C1">
        <w:rPr>
          <w:rFonts w:cstheme="minorHAnsi"/>
          <w:color w:val="000000" w:themeColor="text1"/>
          <w:sz w:val="24"/>
          <w:szCs w:val="24"/>
        </w:rPr>
        <w:t>At a minimum, please include, the following:</w:t>
      </w:r>
    </w:p>
    <w:p w:rsidR="003F0F62" w:rsidRPr="00C639DA" w:rsidRDefault="003F0F62" w:rsidP="003F0F62">
      <w:pPr>
        <w:pStyle w:val="Bulletslevel1"/>
        <w:numPr>
          <w:ilvl w:val="0"/>
          <w:numId w:val="18"/>
        </w:numPr>
        <w:rPr>
          <w:sz w:val="24"/>
          <w:szCs w:val="24"/>
        </w:rPr>
      </w:pPr>
      <w:r w:rsidRPr="00C639DA">
        <w:rPr>
          <w:sz w:val="24"/>
          <w:szCs w:val="24"/>
        </w:rPr>
        <w:t>A description of the nature of the firm’s experience in providing the service(s) and/or deliverable(s) sought.</w:t>
      </w:r>
    </w:p>
    <w:p w:rsidR="003F0F62" w:rsidRDefault="003F0F62" w:rsidP="0021377D">
      <w:pPr>
        <w:pStyle w:val="Bulletslevel1"/>
        <w:numPr>
          <w:ilvl w:val="0"/>
          <w:numId w:val="18"/>
        </w:numPr>
        <w:spacing w:line="240" w:lineRule="auto"/>
        <w:ind w:left="907"/>
        <w:rPr>
          <w:sz w:val="24"/>
          <w:szCs w:val="24"/>
        </w:rPr>
      </w:pPr>
      <w:r w:rsidRPr="00C639DA">
        <w:rPr>
          <w:sz w:val="24"/>
          <w:szCs w:val="24"/>
        </w:rPr>
        <w:t>The total number of such engagements and the comparable clients for which the firm has provided like or similar services within the last five (5) years.</w:t>
      </w:r>
    </w:p>
    <w:p w:rsidR="003F0F62" w:rsidRPr="00D072C1" w:rsidRDefault="00245FD7" w:rsidP="00245FD7">
      <w:pPr>
        <w:numPr>
          <w:ilvl w:val="0"/>
          <w:numId w:val="18"/>
        </w:numPr>
        <w:autoSpaceDE w:val="0"/>
        <w:autoSpaceDN w:val="0"/>
        <w:adjustRightInd w:val="0"/>
        <w:spacing w:after="0" w:line="240" w:lineRule="auto"/>
        <w:ind w:left="907"/>
        <w:contextualSpacing/>
        <w:textAlignment w:val="center"/>
        <w:rPr>
          <w:rFonts w:cstheme="minorHAnsi"/>
          <w:color w:val="000000" w:themeColor="text1"/>
          <w:sz w:val="24"/>
          <w:szCs w:val="24"/>
        </w:rPr>
      </w:pPr>
      <w:r w:rsidRPr="00D072C1">
        <w:rPr>
          <w:rFonts w:cstheme="minorHAnsi"/>
          <w:color w:val="000000" w:themeColor="text1"/>
          <w:sz w:val="24"/>
          <w:szCs w:val="24"/>
        </w:rPr>
        <w:t>Confirmation that the Consultant Team/Firm(s) has visited and/or is familiar with the facility.</w:t>
      </w:r>
    </w:p>
    <w:p w:rsidR="003F0F62" w:rsidRPr="00D072C1" w:rsidRDefault="003F0F62" w:rsidP="003F0F62">
      <w:pPr>
        <w:numPr>
          <w:ilvl w:val="0"/>
          <w:numId w:val="18"/>
        </w:numPr>
        <w:autoSpaceDE w:val="0"/>
        <w:autoSpaceDN w:val="0"/>
        <w:adjustRightInd w:val="0"/>
        <w:spacing w:before="120" w:after="0" w:line="240" w:lineRule="auto"/>
        <w:contextualSpacing/>
        <w:textAlignment w:val="center"/>
        <w:rPr>
          <w:rFonts w:cstheme="minorHAnsi"/>
          <w:color w:val="000000" w:themeColor="text1"/>
          <w:sz w:val="24"/>
          <w:szCs w:val="24"/>
        </w:rPr>
      </w:pPr>
      <w:r w:rsidRPr="00D072C1">
        <w:rPr>
          <w:rFonts w:cstheme="minorHAnsi"/>
          <w:color w:val="000000" w:themeColor="text1"/>
          <w:sz w:val="24"/>
          <w:szCs w:val="24"/>
        </w:rPr>
        <w:t xml:space="preserve">Consultant Team/Firm(s) shall describe in detail how the management and operating plan for delivery of the services outlined in this </w:t>
      </w:r>
      <w:r w:rsidR="0037596D">
        <w:rPr>
          <w:rFonts w:cstheme="minorHAnsi"/>
          <w:color w:val="000000" w:themeColor="text1"/>
          <w:sz w:val="24"/>
          <w:szCs w:val="24"/>
        </w:rPr>
        <w:t>RFQ</w:t>
      </w:r>
      <w:r w:rsidRPr="00D072C1">
        <w:rPr>
          <w:rFonts w:cstheme="minorHAnsi"/>
          <w:color w:val="000000" w:themeColor="text1"/>
          <w:sz w:val="24"/>
          <w:szCs w:val="24"/>
        </w:rPr>
        <w:t xml:space="preserve"> will achieve the goals; and, in its response to this subsection, Consultant Team/Firm(s) shall describe in detail:</w:t>
      </w:r>
    </w:p>
    <w:p w:rsidR="00245FD7" w:rsidRPr="00D072C1" w:rsidRDefault="003F0F62" w:rsidP="00245FD7">
      <w:pPr>
        <w:numPr>
          <w:ilvl w:val="1"/>
          <w:numId w:val="18"/>
        </w:numPr>
        <w:autoSpaceDE w:val="0"/>
        <w:autoSpaceDN w:val="0"/>
        <w:adjustRightInd w:val="0"/>
        <w:spacing w:before="120" w:after="0" w:line="240" w:lineRule="auto"/>
        <w:contextualSpacing/>
        <w:textAlignment w:val="center"/>
        <w:rPr>
          <w:rFonts w:cstheme="minorHAnsi"/>
          <w:color w:val="000000" w:themeColor="text1"/>
          <w:sz w:val="24"/>
          <w:szCs w:val="24"/>
        </w:rPr>
      </w:pPr>
      <w:r w:rsidRPr="00D072C1">
        <w:rPr>
          <w:rFonts w:cstheme="minorHAnsi"/>
          <w:color w:val="000000" w:themeColor="text1"/>
          <w:sz w:val="24"/>
          <w:szCs w:val="24"/>
        </w:rPr>
        <w:t xml:space="preserve">An organizational chart identifying the project manager and key personnel that will serve an </w:t>
      </w:r>
      <w:r w:rsidR="00245FD7" w:rsidRPr="00D072C1">
        <w:rPr>
          <w:rFonts w:cstheme="minorHAnsi"/>
          <w:color w:val="000000" w:themeColor="text1"/>
          <w:sz w:val="24"/>
          <w:szCs w:val="24"/>
        </w:rPr>
        <w:t xml:space="preserve">active role specific to this </w:t>
      </w:r>
      <w:r w:rsidR="0037596D">
        <w:rPr>
          <w:rFonts w:cstheme="minorHAnsi"/>
          <w:color w:val="000000" w:themeColor="text1"/>
          <w:sz w:val="24"/>
          <w:szCs w:val="24"/>
        </w:rPr>
        <w:t>RFQ</w:t>
      </w:r>
      <w:r w:rsidRPr="00D072C1">
        <w:rPr>
          <w:rFonts w:cstheme="minorHAnsi"/>
          <w:color w:val="000000" w:themeColor="text1"/>
          <w:sz w:val="24"/>
          <w:szCs w:val="24"/>
        </w:rPr>
        <w:t>;</w:t>
      </w:r>
    </w:p>
    <w:p w:rsidR="003F0F62" w:rsidRPr="00D072C1" w:rsidRDefault="003F0F62" w:rsidP="003F0F62">
      <w:pPr>
        <w:numPr>
          <w:ilvl w:val="1"/>
          <w:numId w:val="18"/>
        </w:numPr>
        <w:autoSpaceDE w:val="0"/>
        <w:autoSpaceDN w:val="0"/>
        <w:adjustRightInd w:val="0"/>
        <w:spacing w:before="120" w:after="0" w:line="240" w:lineRule="auto"/>
        <w:contextualSpacing/>
        <w:textAlignment w:val="center"/>
        <w:rPr>
          <w:rFonts w:cstheme="minorHAnsi"/>
          <w:color w:val="000000" w:themeColor="text1"/>
          <w:sz w:val="24"/>
          <w:szCs w:val="24"/>
        </w:rPr>
      </w:pPr>
      <w:r w:rsidRPr="00D072C1">
        <w:rPr>
          <w:rFonts w:cstheme="minorHAnsi"/>
          <w:color w:val="000000" w:themeColor="text1"/>
          <w:sz w:val="24"/>
          <w:szCs w:val="24"/>
        </w:rPr>
        <w:t>Describe staff capacity and ability to perform the work in a timely manner, relative to present workload, and assigned staff availability;</w:t>
      </w:r>
    </w:p>
    <w:p w:rsidR="00245FD7" w:rsidRPr="00D072C1" w:rsidRDefault="00245FD7" w:rsidP="00245FD7">
      <w:pPr>
        <w:numPr>
          <w:ilvl w:val="1"/>
          <w:numId w:val="18"/>
        </w:numPr>
        <w:autoSpaceDE w:val="0"/>
        <w:autoSpaceDN w:val="0"/>
        <w:adjustRightInd w:val="0"/>
        <w:spacing w:before="120" w:after="0" w:line="240" w:lineRule="auto"/>
        <w:contextualSpacing/>
        <w:textAlignment w:val="center"/>
        <w:rPr>
          <w:rFonts w:cstheme="minorHAnsi"/>
          <w:color w:val="000000" w:themeColor="text1"/>
          <w:sz w:val="24"/>
          <w:szCs w:val="24"/>
        </w:rPr>
      </w:pPr>
      <w:r w:rsidRPr="00D072C1">
        <w:rPr>
          <w:color w:val="000000" w:themeColor="text1"/>
          <w:sz w:val="24"/>
          <w:szCs w:val="24"/>
        </w:rPr>
        <w:t>List significant sub-consultants, and their anticipated role;</w:t>
      </w:r>
    </w:p>
    <w:p w:rsidR="003F0F62" w:rsidRPr="00D072C1" w:rsidRDefault="003F0F62" w:rsidP="003F0F62">
      <w:pPr>
        <w:numPr>
          <w:ilvl w:val="1"/>
          <w:numId w:val="18"/>
        </w:numPr>
        <w:autoSpaceDE w:val="0"/>
        <w:autoSpaceDN w:val="0"/>
        <w:adjustRightInd w:val="0"/>
        <w:spacing w:before="120" w:after="0" w:line="240" w:lineRule="auto"/>
        <w:contextualSpacing/>
        <w:textAlignment w:val="center"/>
        <w:rPr>
          <w:rFonts w:cstheme="minorHAnsi"/>
          <w:color w:val="000000" w:themeColor="text1"/>
          <w:sz w:val="24"/>
          <w:szCs w:val="24"/>
        </w:rPr>
      </w:pPr>
      <w:r w:rsidRPr="00D072C1">
        <w:rPr>
          <w:rFonts w:cstheme="minorHAnsi"/>
          <w:color w:val="000000" w:themeColor="text1"/>
          <w:sz w:val="24"/>
          <w:szCs w:val="24"/>
        </w:rPr>
        <w:t>Consultant Team/Firm(s) shall submit an anticipated time-line for completing this scope of services;</w:t>
      </w:r>
    </w:p>
    <w:p w:rsidR="003F0F62" w:rsidRPr="00D072C1" w:rsidRDefault="003F0F62" w:rsidP="003F0F62">
      <w:pPr>
        <w:numPr>
          <w:ilvl w:val="1"/>
          <w:numId w:val="18"/>
        </w:numPr>
        <w:autoSpaceDE w:val="0"/>
        <w:autoSpaceDN w:val="0"/>
        <w:adjustRightInd w:val="0"/>
        <w:spacing w:before="120" w:after="0" w:line="240" w:lineRule="auto"/>
        <w:contextualSpacing/>
        <w:textAlignment w:val="center"/>
        <w:rPr>
          <w:rFonts w:cstheme="minorHAnsi"/>
          <w:color w:val="000000" w:themeColor="text1"/>
          <w:sz w:val="24"/>
          <w:szCs w:val="24"/>
        </w:rPr>
      </w:pPr>
      <w:r w:rsidRPr="00D072C1">
        <w:rPr>
          <w:rFonts w:cstheme="minorHAnsi"/>
          <w:color w:val="000000" w:themeColor="text1"/>
          <w:sz w:val="24"/>
          <w:szCs w:val="24"/>
        </w:rPr>
        <w:t>A project approach and operational plan describing in detail how Consultant Team/Firm(s) will achieve th</w:t>
      </w:r>
      <w:r w:rsidR="00245FD7" w:rsidRPr="00D072C1">
        <w:rPr>
          <w:rFonts w:cstheme="minorHAnsi"/>
          <w:color w:val="000000" w:themeColor="text1"/>
          <w:sz w:val="24"/>
          <w:szCs w:val="24"/>
        </w:rPr>
        <w:t>e intent and purpose(s) of the Scope of S</w:t>
      </w:r>
      <w:r w:rsidRPr="00D072C1">
        <w:rPr>
          <w:rFonts w:cstheme="minorHAnsi"/>
          <w:color w:val="000000" w:themeColor="text1"/>
          <w:sz w:val="24"/>
          <w:szCs w:val="24"/>
        </w:rPr>
        <w:t>ervices;</w:t>
      </w:r>
    </w:p>
    <w:p w:rsidR="003F0F62" w:rsidRPr="00D072C1" w:rsidRDefault="003F0F62" w:rsidP="003F0F62">
      <w:pPr>
        <w:numPr>
          <w:ilvl w:val="1"/>
          <w:numId w:val="18"/>
        </w:numPr>
        <w:autoSpaceDE w:val="0"/>
        <w:autoSpaceDN w:val="0"/>
        <w:adjustRightInd w:val="0"/>
        <w:spacing w:before="120" w:after="0" w:line="240" w:lineRule="auto"/>
        <w:contextualSpacing/>
        <w:textAlignment w:val="center"/>
        <w:rPr>
          <w:rFonts w:cstheme="minorHAnsi"/>
          <w:color w:val="000000" w:themeColor="text1"/>
          <w:sz w:val="24"/>
          <w:szCs w:val="24"/>
        </w:rPr>
      </w:pPr>
      <w:r w:rsidRPr="00D072C1">
        <w:rPr>
          <w:rFonts w:cstheme="minorHAnsi"/>
          <w:color w:val="000000" w:themeColor="text1"/>
          <w:sz w:val="24"/>
          <w:szCs w:val="24"/>
        </w:rPr>
        <w:t>Provide a description of project deliverables that meet the Scope of Services;</w:t>
      </w:r>
      <w:r w:rsidR="00245FD7" w:rsidRPr="00D072C1">
        <w:rPr>
          <w:rFonts w:cstheme="minorHAnsi"/>
          <w:color w:val="000000" w:themeColor="text1"/>
          <w:sz w:val="24"/>
          <w:szCs w:val="24"/>
        </w:rPr>
        <w:t xml:space="preserve"> and,</w:t>
      </w:r>
    </w:p>
    <w:p w:rsidR="003F0F62" w:rsidRPr="00D072C1" w:rsidRDefault="003F0F62" w:rsidP="003F0F62">
      <w:pPr>
        <w:numPr>
          <w:ilvl w:val="1"/>
          <w:numId w:val="18"/>
        </w:numPr>
        <w:autoSpaceDE w:val="0"/>
        <w:autoSpaceDN w:val="0"/>
        <w:adjustRightInd w:val="0"/>
        <w:spacing w:before="120" w:after="0" w:line="240" w:lineRule="auto"/>
        <w:contextualSpacing/>
        <w:textAlignment w:val="center"/>
        <w:rPr>
          <w:rFonts w:cstheme="minorHAnsi"/>
          <w:color w:val="000000" w:themeColor="text1"/>
          <w:sz w:val="24"/>
          <w:szCs w:val="24"/>
        </w:rPr>
      </w:pPr>
      <w:r w:rsidRPr="00D072C1">
        <w:rPr>
          <w:rFonts w:cstheme="minorHAnsi"/>
          <w:color w:val="000000" w:themeColor="text1"/>
          <w:sz w:val="24"/>
          <w:szCs w:val="24"/>
        </w:rPr>
        <w:t>Proje</w:t>
      </w:r>
      <w:r w:rsidR="00245FD7" w:rsidRPr="00D072C1">
        <w:rPr>
          <w:rFonts w:cstheme="minorHAnsi"/>
          <w:color w:val="000000" w:themeColor="text1"/>
          <w:sz w:val="24"/>
          <w:szCs w:val="24"/>
        </w:rPr>
        <w:t>ct management tools to be used.</w:t>
      </w:r>
    </w:p>
    <w:p w:rsidR="00245FD7" w:rsidRPr="00D072C1" w:rsidRDefault="003F0F62" w:rsidP="00245FD7">
      <w:pPr>
        <w:pStyle w:val="ListParagraph"/>
        <w:numPr>
          <w:ilvl w:val="0"/>
          <w:numId w:val="20"/>
        </w:numPr>
        <w:autoSpaceDE w:val="0"/>
        <w:autoSpaceDN w:val="0"/>
        <w:adjustRightInd w:val="0"/>
        <w:spacing w:before="120" w:after="0" w:line="240" w:lineRule="auto"/>
        <w:textAlignment w:val="center"/>
        <w:rPr>
          <w:rFonts w:cstheme="minorHAnsi"/>
          <w:color w:val="000000" w:themeColor="text1"/>
          <w:sz w:val="24"/>
          <w:szCs w:val="24"/>
        </w:rPr>
      </w:pPr>
      <w:r w:rsidRPr="00D072C1">
        <w:rPr>
          <w:rFonts w:cstheme="minorHAnsi"/>
          <w:color w:val="000000" w:themeColor="text1"/>
          <w:sz w:val="24"/>
          <w:szCs w:val="24"/>
        </w:rPr>
        <w:t>Additional Supporting Materials: Consultant Team/Firm(s) are invited to include a maximum of five (5) additional (double-sided) pages of information not covered which may strengthen their proposal or describe any unique qualifications or experiences relevant to this initiative.</w:t>
      </w:r>
    </w:p>
    <w:p w:rsidR="00245FD7" w:rsidRPr="00245FD7" w:rsidRDefault="00245FD7" w:rsidP="00245FD7">
      <w:pPr>
        <w:autoSpaceDE w:val="0"/>
        <w:autoSpaceDN w:val="0"/>
        <w:adjustRightInd w:val="0"/>
        <w:spacing w:before="120" w:after="0" w:line="240" w:lineRule="auto"/>
        <w:textAlignment w:val="center"/>
        <w:rPr>
          <w:rFonts w:cstheme="minorHAnsi"/>
          <w:b/>
          <w:bCs/>
          <w:color w:val="000000" w:themeColor="text1"/>
          <w:sz w:val="24"/>
          <w:szCs w:val="24"/>
        </w:rPr>
      </w:pPr>
      <w:r w:rsidRPr="00245FD7">
        <w:rPr>
          <w:rFonts w:cstheme="minorHAnsi"/>
          <w:b/>
          <w:bCs/>
          <w:color w:val="000000" w:themeColor="text1"/>
          <w:sz w:val="24"/>
          <w:szCs w:val="24"/>
        </w:rPr>
        <w:t xml:space="preserve">References:  </w:t>
      </w:r>
    </w:p>
    <w:p w:rsidR="00245FD7" w:rsidRPr="00245FD7" w:rsidRDefault="00245FD7" w:rsidP="00245FD7">
      <w:pPr>
        <w:autoSpaceDE w:val="0"/>
        <w:autoSpaceDN w:val="0"/>
        <w:adjustRightInd w:val="0"/>
        <w:spacing w:before="120" w:after="0" w:line="240" w:lineRule="auto"/>
        <w:textAlignment w:val="center"/>
        <w:rPr>
          <w:rFonts w:cstheme="minorHAnsi"/>
          <w:color w:val="000000" w:themeColor="text1"/>
          <w:sz w:val="24"/>
          <w:szCs w:val="24"/>
        </w:rPr>
      </w:pPr>
      <w:r w:rsidRPr="00245FD7">
        <w:rPr>
          <w:rFonts w:cstheme="minorHAnsi"/>
          <w:color w:val="000000" w:themeColor="text1"/>
          <w:sz w:val="24"/>
          <w:szCs w:val="24"/>
        </w:rPr>
        <w:t xml:space="preserve">Submit at least two (2) written, verifiable, references dated within the last </w:t>
      </w:r>
      <w:r w:rsidR="005E4BC4">
        <w:rPr>
          <w:rFonts w:cstheme="minorHAnsi"/>
          <w:color w:val="000000" w:themeColor="text1"/>
          <w:sz w:val="24"/>
          <w:szCs w:val="24"/>
        </w:rPr>
        <w:t>year</w:t>
      </w:r>
      <w:r w:rsidRPr="00245FD7">
        <w:rPr>
          <w:rFonts w:cstheme="minorHAnsi"/>
          <w:color w:val="000000" w:themeColor="text1"/>
          <w:sz w:val="24"/>
          <w:szCs w:val="24"/>
        </w:rPr>
        <w:t xml:space="preserve"> from clients for which the Consultant Team/Firm(s) has rendered services substantially similar to those sought by this, and recommending Consultant Team/Firm(s) for selection for such services.</w:t>
      </w:r>
    </w:p>
    <w:p w:rsidR="00302B0B" w:rsidRDefault="00245FD7" w:rsidP="00245FD7">
      <w:pPr>
        <w:autoSpaceDE w:val="0"/>
        <w:autoSpaceDN w:val="0"/>
        <w:adjustRightInd w:val="0"/>
        <w:spacing w:before="120" w:after="0" w:line="240" w:lineRule="auto"/>
        <w:textAlignment w:val="center"/>
        <w:rPr>
          <w:rFonts w:cstheme="minorHAnsi"/>
          <w:color w:val="000000" w:themeColor="text1"/>
          <w:sz w:val="24"/>
          <w:szCs w:val="24"/>
        </w:rPr>
      </w:pPr>
      <w:r w:rsidRPr="00245FD7">
        <w:rPr>
          <w:rFonts w:cstheme="minorHAnsi"/>
          <w:color w:val="000000" w:themeColor="text1"/>
          <w:sz w:val="24"/>
          <w:szCs w:val="24"/>
        </w:rPr>
        <w:t>References should include appropriate contact information and relevance to the proposed initiative.</w:t>
      </w:r>
    </w:p>
    <w:p w:rsidR="00302B0B" w:rsidRDefault="00302B0B">
      <w:pPr>
        <w:rPr>
          <w:rFonts w:cstheme="minorHAnsi"/>
          <w:color w:val="000000" w:themeColor="text1"/>
          <w:sz w:val="24"/>
          <w:szCs w:val="24"/>
        </w:rPr>
      </w:pPr>
      <w:r>
        <w:rPr>
          <w:rFonts w:cstheme="minorHAnsi"/>
          <w:color w:val="000000" w:themeColor="text1"/>
          <w:sz w:val="24"/>
          <w:szCs w:val="24"/>
        </w:rPr>
        <w:br w:type="page"/>
      </w:r>
    </w:p>
    <w:p w:rsidR="00245FD7" w:rsidRPr="00245FD7" w:rsidRDefault="00245FD7" w:rsidP="00245FD7">
      <w:pPr>
        <w:autoSpaceDE w:val="0"/>
        <w:autoSpaceDN w:val="0"/>
        <w:adjustRightInd w:val="0"/>
        <w:spacing w:before="120" w:after="0" w:line="240" w:lineRule="auto"/>
        <w:textAlignment w:val="center"/>
        <w:rPr>
          <w:rFonts w:cstheme="minorHAnsi"/>
          <w:color w:val="000000" w:themeColor="text1"/>
          <w:sz w:val="24"/>
          <w:szCs w:val="24"/>
        </w:rPr>
      </w:pPr>
    </w:p>
    <w:p w:rsidR="00965847" w:rsidRPr="00E36D16" w:rsidRDefault="00965847" w:rsidP="00965847">
      <w:pPr>
        <w:pStyle w:val="Pa2"/>
        <w:spacing w:before="140"/>
        <w:ind w:left="600" w:hanging="600"/>
        <w:rPr>
          <w:color w:val="000000" w:themeColor="text1"/>
          <w:sz w:val="32"/>
          <w:szCs w:val="32"/>
        </w:rPr>
      </w:pPr>
      <w:r w:rsidRPr="00E36D16">
        <w:rPr>
          <w:b/>
          <w:bCs/>
          <w:color w:val="000000" w:themeColor="text1"/>
          <w:sz w:val="32"/>
          <w:szCs w:val="32"/>
        </w:rPr>
        <w:t>3.4</w:t>
      </w:r>
      <w:r w:rsidRPr="00E36D16">
        <w:rPr>
          <w:b/>
          <w:bCs/>
          <w:color w:val="000000" w:themeColor="text1"/>
          <w:sz w:val="32"/>
          <w:szCs w:val="32"/>
        </w:rPr>
        <w:tab/>
        <w:t xml:space="preserve">Schedule / Time-line </w:t>
      </w:r>
    </w:p>
    <w:p w:rsidR="00941491" w:rsidRDefault="00941491" w:rsidP="00171B78">
      <w:pPr>
        <w:autoSpaceDE w:val="0"/>
        <w:autoSpaceDN w:val="0"/>
        <w:adjustRightInd w:val="0"/>
        <w:spacing w:before="144" w:after="0" w:line="242" w:lineRule="atLeast"/>
        <w:textAlignment w:val="center"/>
        <w:rPr>
          <w:rFonts w:ascii="Calibri" w:hAnsi="Calibri" w:cs="Calibri"/>
          <w:color w:val="000000"/>
          <w:sz w:val="24"/>
          <w:szCs w:val="24"/>
        </w:rPr>
      </w:pPr>
      <w:r w:rsidRPr="00C639DA">
        <w:rPr>
          <w:rFonts w:ascii="Calibri" w:hAnsi="Calibri" w:cs="Calibri"/>
          <w:color w:val="000000"/>
          <w:sz w:val="24"/>
          <w:szCs w:val="24"/>
        </w:rPr>
        <w:t xml:space="preserve">The plan is to be completed and on file with </w:t>
      </w:r>
      <w:r w:rsidR="00245FD7">
        <w:rPr>
          <w:rFonts w:ascii="Calibri" w:hAnsi="Calibri" w:cs="Calibri"/>
          <w:color w:val="000000"/>
          <w:sz w:val="24"/>
          <w:szCs w:val="24"/>
        </w:rPr>
        <w:t>the City of Canton within six (3</w:t>
      </w:r>
      <w:r w:rsidRPr="00C639DA">
        <w:rPr>
          <w:rFonts w:ascii="Calibri" w:hAnsi="Calibri" w:cs="Calibri"/>
          <w:color w:val="000000"/>
          <w:sz w:val="24"/>
          <w:szCs w:val="24"/>
        </w:rPr>
        <w:t xml:space="preserve">) months from the date of authorization.  It is anticipated that the selected Consultant Team/Firm(s) will be authorized to proceed by </w:t>
      </w:r>
      <w:r w:rsidR="00A753FB">
        <w:rPr>
          <w:rFonts w:ascii="Calibri" w:hAnsi="Calibri" w:cs="Calibri"/>
          <w:color w:val="000000"/>
          <w:sz w:val="24"/>
          <w:szCs w:val="24"/>
        </w:rPr>
        <w:t>April 18</w:t>
      </w:r>
      <w:r w:rsidR="0021377D" w:rsidRPr="00D17240">
        <w:rPr>
          <w:sz w:val="24"/>
          <w:szCs w:val="24"/>
        </w:rPr>
        <w:t>, 2022.</w:t>
      </w:r>
    </w:p>
    <w:p w:rsidR="00245FD7" w:rsidRPr="00245FD7" w:rsidRDefault="00245FD7" w:rsidP="00245FD7">
      <w:pPr>
        <w:autoSpaceDE w:val="0"/>
        <w:autoSpaceDN w:val="0"/>
        <w:adjustRightInd w:val="0"/>
        <w:spacing w:before="120" w:after="0" w:line="240" w:lineRule="auto"/>
        <w:textAlignment w:val="center"/>
        <w:rPr>
          <w:rFonts w:cstheme="minorHAnsi"/>
          <w:color w:val="000000" w:themeColor="text1"/>
          <w:sz w:val="24"/>
          <w:szCs w:val="24"/>
        </w:rPr>
      </w:pPr>
      <w:r w:rsidRPr="00245FD7">
        <w:rPr>
          <w:rFonts w:cstheme="minorHAnsi"/>
          <w:color w:val="000000" w:themeColor="text1"/>
          <w:sz w:val="24"/>
          <w:szCs w:val="24"/>
        </w:rPr>
        <w:t xml:space="preserve">Note:  The authorization to proceed is the official project start date – contract negotiation and execution phase commences. </w:t>
      </w:r>
    </w:p>
    <w:p w:rsidR="00395209" w:rsidRPr="00E36D16" w:rsidRDefault="00395209" w:rsidP="00395209">
      <w:pPr>
        <w:autoSpaceDE w:val="0"/>
        <w:autoSpaceDN w:val="0"/>
        <w:adjustRightInd w:val="0"/>
        <w:spacing w:before="120" w:after="0" w:line="240" w:lineRule="auto"/>
        <w:textAlignment w:val="center"/>
        <w:rPr>
          <w:rFonts w:cstheme="minorHAnsi"/>
          <w:b/>
          <w:bCs/>
          <w:color w:val="000000" w:themeColor="text1"/>
          <w:sz w:val="28"/>
          <w:szCs w:val="28"/>
          <w:u w:val="single"/>
        </w:rPr>
      </w:pPr>
      <w:r w:rsidRPr="00E36D16">
        <w:rPr>
          <w:rFonts w:cstheme="minorHAnsi"/>
          <w:b/>
          <w:bCs/>
          <w:color w:val="000000" w:themeColor="text1"/>
          <w:sz w:val="28"/>
          <w:szCs w:val="28"/>
          <w:u w:val="single"/>
        </w:rPr>
        <w:t>Questions</w:t>
      </w:r>
      <w:r w:rsidRPr="00245FD7">
        <w:rPr>
          <w:rFonts w:cstheme="minorHAnsi"/>
          <w:b/>
          <w:bCs/>
          <w:color w:val="000000" w:themeColor="text1"/>
          <w:sz w:val="28"/>
          <w:szCs w:val="28"/>
          <w:u w:val="single"/>
        </w:rPr>
        <w:t xml:space="preserve">  </w:t>
      </w:r>
    </w:p>
    <w:p w:rsidR="00941491" w:rsidRPr="006414D9" w:rsidRDefault="00941491" w:rsidP="00941491">
      <w:pPr>
        <w:pStyle w:val="Default"/>
        <w:spacing w:before="120"/>
      </w:pPr>
      <w:r w:rsidRPr="006414D9">
        <w:t>Please direct all questions regarding this Request for Qualifications in writing by</w:t>
      </w:r>
      <w:r w:rsidR="008A71D2">
        <w:t xml:space="preserve">, </w:t>
      </w:r>
      <w:r w:rsidR="00A753FB">
        <w:t>March 28</w:t>
      </w:r>
      <w:r w:rsidR="00D17240">
        <w:rPr>
          <w:color w:val="auto"/>
        </w:rPr>
        <w:t>, 2022</w:t>
      </w:r>
      <w:r w:rsidRPr="008A71D2">
        <w:rPr>
          <w:bCs/>
          <w:color w:val="auto"/>
        </w:rPr>
        <w:t xml:space="preserve"> at 4:00 PM </w:t>
      </w:r>
      <w:r w:rsidRPr="006414D9">
        <w:t xml:space="preserve">to: </w:t>
      </w:r>
    </w:p>
    <w:p w:rsidR="0037596D" w:rsidRDefault="00941491" w:rsidP="0037596D">
      <w:pPr>
        <w:pStyle w:val="Default"/>
        <w:spacing w:before="120"/>
        <w:ind w:firstLine="720"/>
      </w:pPr>
      <w:r w:rsidRPr="006414D9">
        <w:t xml:space="preserve">Andrew Roth, Director of Purchasing </w:t>
      </w:r>
      <w:r w:rsidR="0037596D">
        <w:t xml:space="preserve"> </w:t>
      </w:r>
    </w:p>
    <w:p w:rsidR="00941491" w:rsidRPr="0037596D" w:rsidRDefault="00302B0B" w:rsidP="0037596D">
      <w:pPr>
        <w:pStyle w:val="Default"/>
        <w:ind w:firstLine="720"/>
      </w:pPr>
      <w:hyperlink r:id="rId13" w:history="1">
        <w:r w:rsidR="00941491" w:rsidRPr="00F4509A">
          <w:rPr>
            <w:rStyle w:val="Hyperlink"/>
          </w:rPr>
          <w:t>andrew.roth@cantonohio.gov</w:t>
        </w:r>
      </w:hyperlink>
    </w:p>
    <w:p w:rsidR="00941491" w:rsidRDefault="00941491" w:rsidP="00941491">
      <w:pPr>
        <w:pStyle w:val="Default"/>
        <w:rPr>
          <w:b/>
          <w:bCs/>
        </w:rPr>
      </w:pPr>
    </w:p>
    <w:p w:rsidR="00941491" w:rsidRPr="00E36D16" w:rsidRDefault="00941491" w:rsidP="00941491">
      <w:pPr>
        <w:pStyle w:val="Default"/>
        <w:rPr>
          <w:sz w:val="28"/>
          <w:szCs w:val="28"/>
          <w:u w:val="single"/>
        </w:rPr>
      </w:pPr>
      <w:r w:rsidRPr="00E36D16">
        <w:rPr>
          <w:b/>
          <w:bCs/>
          <w:sz w:val="28"/>
          <w:szCs w:val="28"/>
          <w:u w:val="single"/>
        </w:rPr>
        <w:t xml:space="preserve">Evaluation and Next Steps </w:t>
      </w:r>
    </w:p>
    <w:p w:rsidR="00DD372F" w:rsidRPr="00E00407" w:rsidRDefault="00941491" w:rsidP="00395209">
      <w:pPr>
        <w:pStyle w:val="Default"/>
        <w:spacing w:before="120"/>
      </w:pPr>
      <w:r w:rsidRPr="006414D9">
        <w:t>Responding firms will be evaluated and ranked pursuant to Ohio Revised Code Sections 153.65-153.73 based on the abo</w:t>
      </w:r>
      <w:r w:rsidR="0037596D">
        <w:t xml:space="preserve">ve criteria. The City will </w:t>
      </w:r>
      <w:r w:rsidR="00036EA9">
        <w:t xml:space="preserve">then </w:t>
      </w:r>
      <w:r w:rsidRPr="006414D9">
        <w:t>commenc</w:t>
      </w:r>
      <w:r>
        <w:t xml:space="preserve">e fee and contract negotiations </w:t>
      </w:r>
      <w:r w:rsidRPr="006414D9">
        <w:t>with the selected firm most qualified to perform the services for each</w:t>
      </w:r>
      <w:r>
        <w:t xml:space="preserve"> separate project as </w:t>
      </w:r>
      <w:r w:rsidRPr="006414D9">
        <w:t xml:space="preserve">described above. The final scope of </w:t>
      </w:r>
      <w:r w:rsidR="00036EA9">
        <w:t>design</w:t>
      </w:r>
      <w:r w:rsidRPr="006414D9">
        <w:t xml:space="preserve"> services will a</w:t>
      </w:r>
      <w:r>
        <w:t xml:space="preserve">lso be established during these </w:t>
      </w:r>
      <w:r w:rsidRPr="006414D9">
        <w:t xml:space="preserve">negotiations. </w:t>
      </w:r>
    </w:p>
    <w:p w:rsidR="0021377D" w:rsidRPr="0037596D" w:rsidRDefault="0021377D" w:rsidP="0021377D">
      <w:pPr>
        <w:pStyle w:val="Default"/>
        <w:spacing w:before="120"/>
        <w:rPr>
          <w:sz w:val="28"/>
          <w:szCs w:val="28"/>
          <w:u w:val="single"/>
        </w:rPr>
      </w:pPr>
      <w:r w:rsidRPr="0037596D">
        <w:rPr>
          <w:b/>
          <w:bCs/>
          <w:sz w:val="28"/>
          <w:szCs w:val="28"/>
          <w:u w:val="single"/>
        </w:rPr>
        <w:t>Rating Sheet</w:t>
      </w:r>
    </w:p>
    <w:p w:rsidR="0033452A" w:rsidRDefault="0033452A" w:rsidP="0021377D">
      <w:pPr>
        <w:autoSpaceDE w:val="0"/>
        <w:autoSpaceDN w:val="0"/>
        <w:adjustRightInd w:val="0"/>
        <w:spacing w:before="120" w:after="0" w:line="240" w:lineRule="auto"/>
        <w:rPr>
          <w:rFonts w:ascii="Times New Roman" w:hAnsi="Times New Roman" w:cs="Times New Roman"/>
          <w:sz w:val="6"/>
          <w:szCs w:val="6"/>
        </w:rPr>
      </w:pPr>
    </w:p>
    <w:tbl>
      <w:tblPr>
        <w:tblW w:w="0" w:type="auto"/>
        <w:tblInd w:w="-15" w:type="dxa"/>
        <w:tblLayout w:type="fixed"/>
        <w:tblCellMar>
          <w:left w:w="0" w:type="dxa"/>
          <w:right w:w="0" w:type="dxa"/>
        </w:tblCellMar>
        <w:tblLook w:val="0000" w:firstRow="0" w:lastRow="0" w:firstColumn="0" w:lastColumn="0" w:noHBand="0" w:noVBand="0"/>
      </w:tblPr>
      <w:tblGrid>
        <w:gridCol w:w="3073"/>
        <w:gridCol w:w="2363"/>
        <w:gridCol w:w="2480"/>
        <w:gridCol w:w="2247"/>
      </w:tblGrid>
      <w:tr w:rsidR="0033452A" w:rsidTr="00C96220">
        <w:trPr>
          <w:trHeight w:hRule="exact" w:val="838"/>
        </w:trPr>
        <w:tc>
          <w:tcPr>
            <w:tcW w:w="3073" w:type="dxa"/>
            <w:tcBorders>
              <w:top w:val="single" w:sz="12" w:space="0" w:color="000000"/>
              <w:left w:val="single" w:sz="12" w:space="0" w:color="000000"/>
              <w:bottom w:val="single" w:sz="12" w:space="0" w:color="000000"/>
              <w:right w:val="single" w:sz="12" w:space="0" w:color="000000"/>
            </w:tcBorders>
            <w:shd w:val="clear" w:color="auto" w:fill="3F3F3F"/>
          </w:tcPr>
          <w:p w:rsidR="0033452A" w:rsidRPr="00751FE3" w:rsidRDefault="0033452A">
            <w:pPr>
              <w:autoSpaceDE w:val="0"/>
              <w:autoSpaceDN w:val="0"/>
              <w:adjustRightInd w:val="0"/>
              <w:spacing w:after="0" w:line="219" w:lineRule="exact"/>
              <w:ind w:left="92" w:right="-20"/>
              <w:rPr>
                <w:rFonts w:cstheme="minorHAnsi"/>
                <w:sz w:val="20"/>
                <w:szCs w:val="20"/>
              </w:rPr>
            </w:pPr>
            <w:r w:rsidRPr="00751FE3">
              <w:rPr>
                <w:rFonts w:cstheme="minorHAnsi"/>
                <w:b/>
                <w:bCs/>
                <w:color w:val="FFFFFF"/>
                <w:sz w:val="20"/>
                <w:szCs w:val="20"/>
              </w:rPr>
              <w:t>Cat</w:t>
            </w:r>
            <w:r w:rsidRPr="00751FE3">
              <w:rPr>
                <w:rFonts w:cstheme="minorHAnsi"/>
                <w:b/>
                <w:bCs/>
                <w:color w:val="FFFFFF"/>
                <w:spacing w:val="1"/>
                <w:sz w:val="20"/>
                <w:szCs w:val="20"/>
              </w:rPr>
              <w:t>e</w:t>
            </w:r>
            <w:r w:rsidRPr="00751FE3">
              <w:rPr>
                <w:rFonts w:cstheme="minorHAnsi"/>
                <w:b/>
                <w:bCs/>
                <w:color w:val="FFFFFF"/>
                <w:sz w:val="20"/>
                <w:szCs w:val="20"/>
              </w:rPr>
              <w:t>gory</w:t>
            </w:r>
          </w:p>
        </w:tc>
        <w:tc>
          <w:tcPr>
            <w:tcW w:w="2363" w:type="dxa"/>
            <w:tcBorders>
              <w:top w:val="single" w:sz="12" w:space="0" w:color="000000"/>
              <w:left w:val="single" w:sz="12" w:space="0" w:color="000000"/>
              <w:bottom w:val="single" w:sz="12" w:space="0" w:color="000000"/>
              <w:right w:val="single" w:sz="12" w:space="0" w:color="000000"/>
            </w:tcBorders>
            <w:shd w:val="clear" w:color="auto" w:fill="3F3F3F"/>
          </w:tcPr>
          <w:p w:rsidR="0033452A" w:rsidRPr="00751FE3" w:rsidRDefault="0033452A">
            <w:pPr>
              <w:autoSpaceDE w:val="0"/>
              <w:autoSpaceDN w:val="0"/>
              <w:adjustRightInd w:val="0"/>
              <w:spacing w:after="0" w:line="219" w:lineRule="exact"/>
              <w:ind w:left="92" w:right="-20"/>
              <w:rPr>
                <w:rFonts w:cstheme="minorHAnsi"/>
                <w:sz w:val="20"/>
                <w:szCs w:val="20"/>
              </w:rPr>
            </w:pPr>
            <w:r w:rsidRPr="00751FE3">
              <w:rPr>
                <w:rFonts w:cstheme="minorHAnsi"/>
                <w:b/>
                <w:bCs/>
                <w:color w:val="FFFFFF"/>
                <w:sz w:val="20"/>
                <w:szCs w:val="20"/>
              </w:rPr>
              <w:t>Total</w:t>
            </w:r>
            <w:r w:rsidRPr="00751FE3">
              <w:rPr>
                <w:rFonts w:cstheme="minorHAnsi"/>
                <w:b/>
                <w:bCs/>
                <w:color w:val="FFFFFF"/>
                <w:spacing w:val="-4"/>
                <w:sz w:val="20"/>
                <w:szCs w:val="20"/>
              </w:rPr>
              <w:t xml:space="preserve"> </w:t>
            </w:r>
            <w:r w:rsidRPr="00751FE3">
              <w:rPr>
                <w:rFonts w:cstheme="minorHAnsi"/>
                <w:b/>
                <w:bCs/>
                <w:color w:val="FFFFFF"/>
                <w:sz w:val="20"/>
                <w:szCs w:val="20"/>
              </w:rPr>
              <w:t>Value</w:t>
            </w:r>
          </w:p>
        </w:tc>
        <w:tc>
          <w:tcPr>
            <w:tcW w:w="2480" w:type="dxa"/>
            <w:tcBorders>
              <w:top w:val="single" w:sz="12" w:space="0" w:color="000000"/>
              <w:left w:val="single" w:sz="12" w:space="0" w:color="000000"/>
              <w:bottom w:val="single" w:sz="12" w:space="0" w:color="000000"/>
              <w:right w:val="single" w:sz="12" w:space="0" w:color="000000"/>
            </w:tcBorders>
            <w:shd w:val="clear" w:color="auto" w:fill="3F3F3F"/>
          </w:tcPr>
          <w:p w:rsidR="0033452A" w:rsidRPr="00751FE3" w:rsidRDefault="0033452A">
            <w:pPr>
              <w:autoSpaceDE w:val="0"/>
              <w:autoSpaceDN w:val="0"/>
              <w:adjustRightInd w:val="0"/>
              <w:spacing w:after="0" w:line="219" w:lineRule="exact"/>
              <w:ind w:left="93" w:right="-20"/>
              <w:rPr>
                <w:rFonts w:cstheme="minorHAnsi"/>
                <w:sz w:val="20"/>
                <w:szCs w:val="20"/>
              </w:rPr>
            </w:pPr>
            <w:r w:rsidRPr="00751FE3">
              <w:rPr>
                <w:rFonts w:cstheme="minorHAnsi"/>
                <w:b/>
                <w:bCs/>
                <w:color w:val="FFFFFF"/>
                <w:sz w:val="20"/>
                <w:szCs w:val="20"/>
              </w:rPr>
              <w:t>Scoring</w:t>
            </w:r>
            <w:r w:rsidRPr="00751FE3">
              <w:rPr>
                <w:rFonts w:cstheme="minorHAnsi"/>
                <w:b/>
                <w:bCs/>
                <w:color w:val="FFFFFF"/>
                <w:spacing w:val="-5"/>
                <w:sz w:val="20"/>
                <w:szCs w:val="20"/>
              </w:rPr>
              <w:t xml:space="preserve"> </w:t>
            </w:r>
            <w:r w:rsidRPr="00751FE3">
              <w:rPr>
                <w:rFonts w:cstheme="minorHAnsi"/>
                <w:b/>
                <w:bCs/>
                <w:color w:val="FFFFFF"/>
                <w:sz w:val="20"/>
                <w:szCs w:val="20"/>
              </w:rPr>
              <w:t>Criteria</w:t>
            </w:r>
          </w:p>
        </w:tc>
        <w:tc>
          <w:tcPr>
            <w:tcW w:w="2247" w:type="dxa"/>
            <w:tcBorders>
              <w:top w:val="single" w:sz="12" w:space="0" w:color="000000"/>
              <w:left w:val="single" w:sz="12" w:space="0" w:color="000000"/>
              <w:bottom w:val="single" w:sz="12" w:space="0" w:color="000000"/>
              <w:right w:val="single" w:sz="12" w:space="0" w:color="000000"/>
            </w:tcBorders>
            <w:shd w:val="clear" w:color="auto" w:fill="3F3F3F"/>
          </w:tcPr>
          <w:p w:rsidR="0033452A" w:rsidRPr="00751FE3" w:rsidRDefault="0033452A">
            <w:pPr>
              <w:autoSpaceDE w:val="0"/>
              <w:autoSpaceDN w:val="0"/>
              <w:adjustRightInd w:val="0"/>
              <w:spacing w:after="0" w:line="219" w:lineRule="exact"/>
              <w:ind w:left="93" w:right="-20"/>
              <w:rPr>
                <w:rFonts w:cstheme="minorHAnsi"/>
                <w:sz w:val="20"/>
                <w:szCs w:val="20"/>
              </w:rPr>
            </w:pPr>
            <w:r w:rsidRPr="00751FE3">
              <w:rPr>
                <w:rFonts w:cstheme="minorHAnsi"/>
                <w:b/>
                <w:bCs/>
                <w:color w:val="FFFFFF"/>
                <w:sz w:val="20"/>
                <w:szCs w:val="20"/>
              </w:rPr>
              <w:t>Score</w:t>
            </w:r>
          </w:p>
        </w:tc>
      </w:tr>
      <w:tr w:rsidR="0033452A" w:rsidTr="0033452A">
        <w:trPr>
          <w:trHeight w:hRule="exact" w:val="369"/>
        </w:trPr>
        <w:tc>
          <w:tcPr>
            <w:tcW w:w="3073" w:type="dxa"/>
            <w:tcBorders>
              <w:top w:val="single" w:sz="12" w:space="0" w:color="000000"/>
              <w:left w:val="single" w:sz="12" w:space="0" w:color="000000"/>
              <w:bottom w:val="single" w:sz="12" w:space="0" w:color="000000"/>
              <w:right w:val="single" w:sz="12" w:space="0" w:color="000000"/>
            </w:tcBorders>
            <w:shd w:val="clear" w:color="auto" w:fill="D0CECE"/>
          </w:tcPr>
          <w:p w:rsidR="0033452A" w:rsidRPr="00751FE3" w:rsidRDefault="0033452A">
            <w:pPr>
              <w:autoSpaceDE w:val="0"/>
              <w:autoSpaceDN w:val="0"/>
              <w:adjustRightInd w:val="0"/>
              <w:spacing w:after="0" w:line="219" w:lineRule="exact"/>
              <w:ind w:left="92" w:right="-20"/>
              <w:rPr>
                <w:rFonts w:cstheme="minorHAnsi"/>
                <w:sz w:val="20"/>
                <w:szCs w:val="20"/>
              </w:rPr>
            </w:pPr>
            <w:r w:rsidRPr="00751FE3">
              <w:rPr>
                <w:rFonts w:cstheme="minorHAnsi"/>
                <w:b/>
                <w:bCs/>
                <w:sz w:val="20"/>
                <w:szCs w:val="20"/>
              </w:rPr>
              <w:t>Managem</w:t>
            </w:r>
            <w:r w:rsidRPr="00751FE3">
              <w:rPr>
                <w:rFonts w:cstheme="minorHAnsi"/>
                <w:b/>
                <w:bCs/>
                <w:spacing w:val="-1"/>
                <w:sz w:val="20"/>
                <w:szCs w:val="20"/>
              </w:rPr>
              <w:t>e</w:t>
            </w:r>
            <w:r w:rsidRPr="00751FE3">
              <w:rPr>
                <w:rFonts w:cstheme="minorHAnsi"/>
                <w:b/>
                <w:bCs/>
                <w:sz w:val="20"/>
                <w:szCs w:val="20"/>
              </w:rPr>
              <w:t>nt</w:t>
            </w:r>
            <w:r w:rsidRPr="00751FE3">
              <w:rPr>
                <w:rFonts w:cstheme="minorHAnsi"/>
                <w:b/>
                <w:bCs/>
                <w:spacing w:val="-2"/>
                <w:sz w:val="20"/>
                <w:szCs w:val="20"/>
              </w:rPr>
              <w:t xml:space="preserve"> </w:t>
            </w:r>
            <w:r w:rsidRPr="00751FE3">
              <w:rPr>
                <w:rFonts w:cstheme="minorHAnsi"/>
                <w:b/>
                <w:bCs/>
                <w:sz w:val="20"/>
                <w:szCs w:val="20"/>
              </w:rPr>
              <w:t>&amp;</w:t>
            </w:r>
            <w:r w:rsidRPr="00751FE3">
              <w:rPr>
                <w:rFonts w:cstheme="minorHAnsi"/>
                <w:b/>
                <w:bCs/>
                <w:spacing w:val="-2"/>
                <w:sz w:val="20"/>
                <w:szCs w:val="20"/>
              </w:rPr>
              <w:t xml:space="preserve"> </w:t>
            </w:r>
            <w:r w:rsidRPr="00751FE3">
              <w:rPr>
                <w:rFonts w:cstheme="minorHAnsi"/>
                <w:b/>
                <w:bCs/>
                <w:sz w:val="20"/>
                <w:szCs w:val="20"/>
              </w:rPr>
              <w:t>Team</w:t>
            </w:r>
          </w:p>
        </w:tc>
        <w:tc>
          <w:tcPr>
            <w:tcW w:w="7090" w:type="dxa"/>
            <w:gridSpan w:val="3"/>
            <w:tcBorders>
              <w:top w:val="single" w:sz="12" w:space="0" w:color="000000"/>
              <w:left w:val="single" w:sz="12" w:space="0" w:color="000000"/>
              <w:bottom w:val="single" w:sz="12" w:space="0" w:color="000000"/>
              <w:right w:val="single" w:sz="12" w:space="0" w:color="000000"/>
            </w:tcBorders>
            <w:shd w:val="clear" w:color="auto" w:fill="3F3F3F"/>
          </w:tcPr>
          <w:p w:rsidR="0033452A" w:rsidRPr="00751FE3" w:rsidRDefault="0033452A">
            <w:pPr>
              <w:autoSpaceDE w:val="0"/>
              <w:autoSpaceDN w:val="0"/>
              <w:adjustRightInd w:val="0"/>
              <w:spacing w:after="0" w:line="240" w:lineRule="auto"/>
              <w:rPr>
                <w:rFonts w:cstheme="minorHAnsi"/>
                <w:sz w:val="20"/>
                <w:szCs w:val="20"/>
              </w:rPr>
            </w:pPr>
          </w:p>
        </w:tc>
      </w:tr>
      <w:tr w:rsidR="0033452A" w:rsidTr="00C96220">
        <w:trPr>
          <w:trHeight w:hRule="exact" w:val="430"/>
        </w:trPr>
        <w:tc>
          <w:tcPr>
            <w:tcW w:w="3073" w:type="dxa"/>
            <w:tcBorders>
              <w:top w:val="single" w:sz="12" w:space="0" w:color="000000"/>
              <w:left w:val="single" w:sz="4" w:space="0" w:color="656565"/>
              <w:bottom w:val="single" w:sz="4" w:space="0" w:color="656565"/>
              <w:right w:val="single" w:sz="4" w:space="0" w:color="656565"/>
            </w:tcBorders>
          </w:tcPr>
          <w:p w:rsidR="0033452A" w:rsidRPr="00751FE3" w:rsidRDefault="0033452A">
            <w:pPr>
              <w:autoSpaceDE w:val="0"/>
              <w:autoSpaceDN w:val="0"/>
              <w:adjustRightInd w:val="0"/>
              <w:spacing w:after="0" w:line="219" w:lineRule="exact"/>
              <w:ind w:left="102" w:right="-20"/>
              <w:rPr>
                <w:rFonts w:cstheme="minorHAnsi"/>
                <w:sz w:val="20"/>
                <w:szCs w:val="20"/>
              </w:rPr>
            </w:pPr>
            <w:r w:rsidRPr="00751FE3">
              <w:rPr>
                <w:rFonts w:cstheme="minorHAnsi"/>
                <w:sz w:val="20"/>
                <w:szCs w:val="20"/>
              </w:rPr>
              <w:t>Proje</w:t>
            </w:r>
            <w:r w:rsidRPr="00751FE3">
              <w:rPr>
                <w:rFonts w:cstheme="minorHAnsi"/>
                <w:spacing w:val="-1"/>
                <w:sz w:val="20"/>
                <w:szCs w:val="20"/>
              </w:rPr>
              <w:t>c</w:t>
            </w:r>
            <w:r w:rsidRPr="00751FE3">
              <w:rPr>
                <w:rFonts w:cstheme="minorHAnsi"/>
                <w:sz w:val="20"/>
                <w:szCs w:val="20"/>
              </w:rPr>
              <w:t>t</w:t>
            </w:r>
            <w:r w:rsidRPr="00751FE3">
              <w:rPr>
                <w:rFonts w:cstheme="minorHAnsi"/>
                <w:spacing w:val="-3"/>
                <w:sz w:val="20"/>
                <w:szCs w:val="20"/>
              </w:rPr>
              <w:t xml:space="preserve"> </w:t>
            </w:r>
            <w:r w:rsidRPr="00751FE3">
              <w:rPr>
                <w:rFonts w:cstheme="minorHAnsi"/>
                <w:sz w:val="20"/>
                <w:szCs w:val="20"/>
              </w:rPr>
              <w:t>Manager</w:t>
            </w:r>
          </w:p>
        </w:tc>
        <w:tc>
          <w:tcPr>
            <w:tcW w:w="2363" w:type="dxa"/>
            <w:tcBorders>
              <w:top w:val="single" w:sz="12" w:space="0" w:color="000000"/>
              <w:left w:val="single" w:sz="4" w:space="0" w:color="656565"/>
              <w:bottom w:val="single" w:sz="4" w:space="0" w:color="656565"/>
              <w:right w:val="single" w:sz="4" w:space="0" w:color="656565"/>
            </w:tcBorders>
          </w:tcPr>
          <w:p w:rsidR="0033452A" w:rsidRPr="00751FE3" w:rsidRDefault="0033452A">
            <w:pPr>
              <w:autoSpaceDE w:val="0"/>
              <w:autoSpaceDN w:val="0"/>
              <w:adjustRightInd w:val="0"/>
              <w:spacing w:after="0" w:line="229" w:lineRule="exact"/>
              <w:ind w:left="758" w:right="738"/>
              <w:jc w:val="center"/>
              <w:rPr>
                <w:rFonts w:cstheme="minorHAnsi"/>
                <w:sz w:val="20"/>
                <w:szCs w:val="20"/>
              </w:rPr>
            </w:pPr>
            <w:r w:rsidRPr="00751FE3">
              <w:rPr>
                <w:rFonts w:cstheme="minorHAnsi"/>
                <w:spacing w:val="1"/>
                <w:sz w:val="20"/>
                <w:szCs w:val="20"/>
              </w:rPr>
              <w:t>15</w:t>
            </w:r>
          </w:p>
        </w:tc>
        <w:tc>
          <w:tcPr>
            <w:tcW w:w="2480" w:type="dxa"/>
            <w:tcBorders>
              <w:top w:val="single" w:sz="12" w:space="0" w:color="000000"/>
              <w:left w:val="single" w:sz="4" w:space="0" w:color="656565"/>
              <w:bottom w:val="single" w:sz="4" w:space="0" w:color="656565"/>
              <w:right w:val="single" w:sz="4" w:space="0" w:color="656565"/>
            </w:tcBorders>
          </w:tcPr>
          <w:p w:rsidR="0033452A" w:rsidRPr="00751FE3" w:rsidRDefault="0033452A">
            <w:pPr>
              <w:autoSpaceDE w:val="0"/>
              <w:autoSpaceDN w:val="0"/>
              <w:adjustRightInd w:val="0"/>
              <w:spacing w:after="0" w:line="219" w:lineRule="exact"/>
              <w:ind w:left="455" w:right="-20"/>
              <w:rPr>
                <w:rFonts w:cstheme="minorHAnsi"/>
                <w:sz w:val="20"/>
                <w:szCs w:val="20"/>
              </w:rPr>
            </w:pPr>
            <w:r w:rsidRPr="00751FE3">
              <w:rPr>
                <w:rFonts w:cstheme="minorHAnsi"/>
                <w:sz w:val="20"/>
                <w:szCs w:val="20"/>
              </w:rPr>
              <w:t>See</w:t>
            </w:r>
            <w:r w:rsidRPr="00751FE3">
              <w:rPr>
                <w:rFonts w:cstheme="minorHAnsi"/>
                <w:spacing w:val="-2"/>
                <w:sz w:val="20"/>
                <w:szCs w:val="20"/>
              </w:rPr>
              <w:t xml:space="preserve"> </w:t>
            </w:r>
            <w:r w:rsidRPr="00751FE3">
              <w:rPr>
                <w:rFonts w:cstheme="minorHAnsi"/>
                <w:sz w:val="20"/>
                <w:szCs w:val="20"/>
              </w:rPr>
              <w:t>a,</w:t>
            </w:r>
            <w:r w:rsidRPr="00751FE3">
              <w:rPr>
                <w:rFonts w:cstheme="minorHAnsi"/>
                <w:spacing w:val="-1"/>
                <w:sz w:val="20"/>
                <w:szCs w:val="20"/>
              </w:rPr>
              <w:t xml:space="preserve"> </w:t>
            </w:r>
            <w:r w:rsidRPr="00751FE3">
              <w:rPr>
                <w:rFonts w:cstheme="minorHAnsi"/>
                <w:sz w:val="20"/>
                <w:szCs w:val="20"/>
              </w:rPr>
              <w:t>below.</w:t>
            </w:r>
          </w:p>
        </w:tc>
        <w:tc>
          <w:tcPr>
            <w:tcW w:w="2247" w:type="dxa"/>
            <w:tcBorders>
              <w:top w:val="single" w:sz="12" w:space="0" w:color="000000"/>
              <w:left w:val="single" w:sz="4" w:space="0" w:color="656565"/>
              <w:bottom w:val="single" w:sz="4" w:space="0" w:color="656565"/>
              <w:right w:val="single" w:sz="4" w:space="0" w:color="656565"/>
            </w:tcBorders>
          </w:tcPr>
          <w:p w:rsidR="0033452A" w:rsidRPr="00751FE3" w:rsidRDefault="0033452A">
            <w:pPr>
              <w:autoSpaceDE w:val="0"/>
              <w:autoSpaceDN w:val="0"/>
              <w:adjustRightInd w:val="0"/>
              <w:spacing w:after="0" w:line="240" w:lineRule="auto"/>
              <w:rPr>
                <w:rFonts w:cstheme="minorHAnsi"/>
                <w:sz w:val="20"/>
                <w:szCs w:val="20"/>
              </w:rPr>
            </w:pPr>
          </w:p>
        </w:tc>
      </w:tr>
      <w:tr w:rsidR="0033452A" w:rsidTr="00C96220">
        <w:trPr>
          <w:trHeight w:hRule="exact" w:val="787"/>
        </w:trPr>
        <w:tc>
          <w:tcPr>
            <w:tcW w:w="3073" w:type="dxa"/>
            <w:tcBorders>
              <w:top w:val="single" w:sz="4" w:space="0" w:color="656565"/>
              <w:left w:val="single" w:sz="4" w:space="0" w:color="656565"/>
              <w:bottom w:val="single" w:sz="4" w:space="0" w:color="656565"/>
              <w:right w:val="single" w:sz="4" w:space="0" w:color="656565"/>
            </w:tcBorders>
            <w:shd w:val="clear" w:color="auto" w:fill="BFBFBF"/>
          </w:tcPr>
          <w:p w:rsidR="0033452A" w:rsidRPr="00751FE3" w:rsidRDefault="0033452A">
            <w:pPr>
              <w:autoSpaceDE w:val="0"/>
              <w:autoSpaceDN w:val="0"/>
              <w:adjustRightInd w:val="0"/>
              <w:spacing w:after="0" w:line="219" w:lineRule="exact"/>
              <w:ind w:left="102" w:right="-20"/>
              <w:rPr>
                <w:rFonts w:cstheme="minorHAnsi"/>
                <w:sz w:val="20"/>
                <w:szCs w:val="20"/>
              </w:rPr>
            </w:pPr>
            <w:r w:rsidRPr="00751FE3">
              <w:rPr>
                <w:rFonts w:cstheme="minorHAnsi"/>
                <w:sz w:val="20"/>
                <w:szCs w:val="20"/>
              </w:rPr>
              <w:t>Strength/Experience</w:t>
            </w:r>
            <w:r w:rsidRPr="00751FE3">
              <w:rPr>
                <w:rFonts w:cstheme="minorHAnsi"/>
                <w:spacing w:val="1"/>
                <w:sz w:val="20"/>
                <w:szCs w:val="20"/>
              </w:rPr>
              <w:t xml:space="preserve"> </w:t>
            </w:r>
            <w:r w:rsidRPr="00751FE3">
              <w:rPr>
                <w:rFonts w:cstheme="minorHAnsi"/>
                <w:sz w:val="20"/>
                <w:szCs w:val="20"/>
              </w:rPr>
              <w:t>of</w:t>
            </w:r>
          </w:p>
          <w:p w:rsidR="0033452A" w:rsidRPr="00751FE3" w:rsidRDefault="0033452A">
            <w:pPr>
              <w:autoSpaceDE w:val="0"/>
              <w:autoSpaceDN w:val="0"/>
              <w:adjustRightInd w:val="0"/>
              <w:spacing w:after="0" w:line="240" w:lineRule="auto"/>
              <w:ind w:left="102" w:right="-20"/>
              <w:rPr>
                <w:rFonts w:cstheme="minorHAnsi"/>
                <w:sz w:val="20"/>
                <w:szCs w:val="20"/>
              </w:rPr>
            </w:pPr>
            <w:r w:rsidRPr="00751FE3">
              <w:rPr>
                <w:rFonts w:cstheme="minorHAnsi"/>
                <w:sz w:val="20"/>
                <w:szCs w:val="20"/>
              </w:rPr>
              <w:t>Assign</w:t>
            </w:r>
            <w:r w:rsidRPr="00751FE3">
              <w:rPr>
                <w:rFonts w:cstheme="minorHAnsi"/>
                <w:spacing w:val="-1"/>
                <w:sz w:val="20"/>
                <w:szCs w:val="20"/>
              </w:rPr>
              <w:t>e</w:t>
            </w:r>
            <w:r w:rsidRPr="00751FE3">
              <w:rPr>
                <w:rFonts w:cstheme="minorHAnsi"/>
                <w:sz w:val="20"/>
                <w:szCs w:val="20"/>
              </w:rPr>
              <w:t>d</w:t>
            </w:r>
            <w:r w:rsidRPr="00751FE3">
              <w:rPr>
                <w:rFonts w:cstheme="minorHAnsi"/>
                <w:spacing w:val="-6"/>
                <w:sz w:val="20"/>
                <w:szCs w:val="20"/>
              </w:rPr>
              <w:t xml:space="preserve"> </w:t>
            </w:r>
            <w:r w:rsidRPr="00751FE3">
              <w:rPr>
                <w:rFonts w:cstheme="minorHAnsi"/>
                <w:sz w:val="20"/>
                <w:szCs w:val="20"/>
              </w:rPr>
              <w:t>Staff,</w:t>
            </w:r>
            <w:r w:rsidRPr="00751FE3">
              <w:rPr>
                <w:rFonts w:cstheme="minorHAnsi"/>
                <w:spacing w:val="-1"/>
                <w:sz w:val="20"/>
                <w:szCs w:val="20"/>
              </w:rPr>
              <w:t xml:space="preserve"> </w:t>
            </w:r>
            <w:r w:rsidRPr="00751FE3">
              <w:rPr>
                <w:rFonts w:cstheme="minorHAnsi"/>
                <w:sz w:val="20"/>
                <w:szCs w:val="20"/>
              </w:rPr>
              <w:t>including</w:t>
            </w:r>
          </w:p>
          <w:p w:rsidR="0033452A" w:rsidRPr="00751FE3" w:rsidRDefault="0033452A">
            <w:pPr>
              <w:autoSpaceDE w:val="0"/>
              <w:autoSpaceDN w:val="0"/>
              <w:adjustRightInd w:val="0"/>
              <w:spacing w:after="0" w:line="218" w:lineRule="exact"/>
              <w:ind w:left="102" w:right="-20"/>
              <w:rPr>
                <w:rFonts w:cstheme="minorHAnsi"/>
                <w:sz w:val="20"/>
                <w:szCs w:val="20"/>
              </w:rPr>
            </w:pPr>
            <w:r w:rsidRPr="00751FE3">
              <w:rPr>
                <w:rFonts w:cstheme="minorHAnsi"/>
                <w:sz w:val="20"/>
                <w:szCs w:val="20"/>
              </w:rPr>
              <w:t>Subconsultants</w:t>
            </w:r>
          </w:p>
        </w:tc>
        <w:tc>
          <w:tcPr>
            <w:tcW w:w="2363" w:type="dxa"/>
            <w:tcBorders>
              <w:top w:val="single" w:sz="4" w:space="0" w:color="656565"/>
              <w:left w:val="single" w:sz="4" w:space="0" w:color="656565"/>
              <w:bottom w:val="single" w:sz="4" w:space="0" w:color="656565"/>
              <w:right w:val="single" w:sz="4" w:space="0" w:color="656565"/>
            </w:tcBorders>
            <w:shd w:val="clear" w:color="auto" w:fill="BFBFBF"/>
          </w:tcPr>
          <w:p w:rsidR="0033452A" w:rsidRPr="00751FE3" w:rsidRDefault="0033452A">
            <w:pPr>
              <w:autoSpaceDE w:val="0"/>
              <w:autoSpaceDN w:val="0"/>
              <w:adjustRightInd w:val="0"/>
              <w:spacing w:after="0" w:line="229" w:lineRule="exact"/>
              <w:ind w:left="758" w:right="738"/>
              <w:jc w:val="center"/>
              <w:rPr>
                <w:rFonts w:cstheme="minorHAnsi"/>
                <w:sz w:val="20"/>
                <w:szCs w:val="20"/>
              </w:rPr>
            </w:pPr>
            <w:r w:rsidRPr="00751FE3">
              <w:rPr>
                <w:rFonts w:cstheme="minorHAnsi"/>
                <w:spacing w:val="1"/>
                <w:sz w:val="20"/>
                <w:szCs w:val="20"/>
              </w:rPr>
              <w:t>25</w:t>
            </w:r>
          </w:p>
        </w:tc>
        <w:tc>
          <w:tcPr>
            <w:tcW w:w="2480" w:type="dxa"/>
            <w:tcBorders>
              <w:top w:val="single" w:sz="4" w:space="0" w:color="656565"/>
              <w:left w:val="single" w:sz="4" w:space="0" w:color="656565"/>
              <w:bottom w:val="single" w:sz="4" w:space="0" w:color="656565"/>
              <w:right w:val="single" w:sz="4" w:space="0" w:color="656565"/>
            </w:tcBorders>
            <w:shd w:val="clear" w:color="auto" w:fill="BFBFBF"/>
          </w:tcPr>
          <w:p w:rsidR="0033452A" w:rsidRPr="00751FE3" w:rsidRDefault="0033452A">
            <w:pPr>
              <w:autoSpaceDE w:val="0"/>
              <w:autoSpaceDN w:val="0"/>
              <w:adjustRightInd w:val="0"/>
              <w:spacing w:after="0" w:line="219" w:lineRule="exact"/>
              <w:ind w:left="450" w:right="-20"/>
              <w:rPr>
                <w:rFonts w:cstheme="minorHAnsi"/>
                <w:sz w:val="20"/>
                <w:szCs w:val="20"/>
              </w:rPr>
            </w:pPr>
            <w:r w:rsidRPr="00751FE3">
              <w:rPr>
                <w:rFonts w:cstheme="minorHAnsi"/>
                <w:sz w:val="20"/>
                <w:szCs w:val="20"/>
              </w:rPr>
              <w:t>See</w:t>
            </w:r>
            <w:r w:rsidRPr="00751FE3">
              <w:rPr>
                <w:rFonts w:cstheme="minorHAnsi"/>
                <w:spacing w:val="-2"/>
                <w:sz w:val="20"/>
                <w:szCs w:val="20"/>
              </w:rPr>
              <w:t xml:space="preserve"> </w:t>
            </w:r>
            <w:r w:rsidRPr="00751FE3">
              <w:rPr>
                <w:rFonts w:cstheme="minorHAnsi"/>
                <w:sz w:val="20"/>
                <w:szCs w:val="20"/>
              </w:rPr>
              <w:t>b,</w:t>
            </w:r>
            <w:r w:rsidRPr="00751FE3">
              <w:rPr>
                <w:rFonts w:cstheme="minorHAnsi"/>
                <w:spacing w:val="-1"/>
                <w:sz w:val="20"/>
                <w:szCs w:val="20"/>
              </w:rPr>
              <w:t xml:space="preserve"> </w:t>
            </w:r>
            <w:r w:rsidRPr="00751FE3">
              <w:rPr>
                <w:rFonts w:cstheme="minorHAnsi"/>
                <w:sz w:val="20"/>
                <w:szCs w:val="20"/>
              </w:rPr>
              <w:t>below.</w:t>
            </w:r>
          </w:p>
        </w:tc>
        <w:tc>
          <w:tcPr>
            <w:tcW w:w="2247" w:type="dxa"/>
            <w:tcBorders>
              <w:top w:val="single" w:sz="4" w:space="0" w:color="656565"/>
              <w:left w:val="single" w:sz="4" w:space="0" w:color="656565"/>
              <w:bottom w:val="single" w:sz="4" w:space="0" w:color="656565"/>
              <w:right w:val="single" w:sz="4" w:space="0" w:color="656565"/>
            </w:tcBorders>
            <w:shd w:val="clear" w:color="auto" w:fill="BFBFBF"/>
          </w:tcPr>
          <w:p w:rsidR="0033452A" w:rsidRPr="00751FE3" w:rsidRDefault="0033452A">
            <w:pPr>
              <w:autoSpaceDE w:val="0"/>
              <w:autoSpaceDN w:val="0"/>
              <w:adjustRightInd w:val="0"/>
              <w:spacing w:after="0" w:line="240" w:lineRule="auto"/>
              <w:rPr>
                <w:rFonts w:cstheme="minorHAnsi"/>
                <w:sz w:val="20"/>
                <w:szCs w:val="20"/>
              </w:rPr>
            </w:pPr>
          </w:p>
        </w:tc>
      </w:tr>
      <w:tr w:rsidR="0033452A" w:rsidTr="00C96220">
        <w:trPr>
          <w:trHeight w:hRule="exact" w:val="530"/>
        </w:trPr>
        <w:tc>
          <w:tcPr>
            <w:tcW w:w="3073" w:type="dxa"/>
            <w:tcBorders>
              <w:top w:val="single" w:sz="4" w:space="0" w:color="656565"/>
              <w:left w:val="single" w:sz="4" w:space="0" w:color="656565"/>
              <w:bottom w:val="single" w:sz="4" w:space="0" w:color="656565"/>
              <w:right w:val="single" w:sz="4" w:space="0" w:color="656565"/>
            </w:tcBorders>
          </w:tcPr>
          <w:p w:rsidR="0033452A" w:rsidRPr="00751FE3" w:rsidRDefault="0033452A">
            <w:pPr>
              <w:autoSpaceDE w:val="0"/>
              <w:autoSpaceDN w:val="0"/>
              <w:adjustRightInd w:val="0"/>
              <w:spacing w:after="0" w:line="240" w:lineRule="auto"/>
              <w:ind w:left="282" w:right="178" w:hanging="53"/>
              <w:rPr>
                <w:rFonts w:cstheme="minorHAnsi"/>
                <w:sz w:val="20"/>
                <w:szCs w:val="20"/>
              </w:rPr>
            </w:pPr>
            <w:r w:rsidRPr="00751FE3">
              <w:rPr>
                <w:rFonts w:cstheme="minorHAnsi"/>
                <w:sz w:val="20"/>
                <w:szCs w:val="20"/>
              </w:rPr>
              <w:t>Firm's</w:t>
            </w:r>
            <w:r w:rsidRPr="00751FE3">
              <w:rPr>
                <w:rFonts w:cstheme="minorHAnsi"/>
                <w:spacing w:val="1"/>
                <w:sz w:val="20"/>
                <w:szCs w:val="20"/>
              </w:rPr>
              <w:t xml:space="preserve"> </w:t>
            </w:r>
            <w:r w:rsidRPr="00751FE3">
              <w:rPr>
                <w:rFonts w:cstheme="minorHAnsi"/>
                <w:sz w:val="20"/>
                <w:szCs w:val="20"/>
              </w:rPr>
              <w:t>Current</w:t>
            </w:r>
            <w:r w:rsidRPr="00751FE3">
              <w:rPr>
                <w:rFonts w:cstheme="minorHAnsi"/>
                <w:spacing w:val="-6"/>
                <w:sz w:val="20"/>
                <w:szCs w:val="20"/>
              </w:rPr>
              <w:t xml:space="preserve"> </w:t>
            </w:r>
            <w:r w:rsidRPr="00751FE3">
              <w:rPr>
                <w:rFonts w:cstheme="minorHAnsi"/>
                <w:sz w:val="20"/>
                <w:szCs w:val="20"/>
              </w:rPr>
              <w:t>Work</w:t>
            </w:r>
            <w:r w:rsidRPr="00751FE3">
              <w:rPr>
                <w:rFonts w:cstheme="minorHAnsi"/>
                <w:spacing w:val="1"/>
                <w:sz w:val="20"/>
                <w:szCs w:val="20"/>
              </w:rPr>
              <w:t>l</w:t>
            </w:r>
            <w:r w:rsidRPr="00751FE3">
              <w:rPr>
                <w:rFonts w:cstheme="minorHAnsi"/>
                <w:sz w:val="20"/>
                <w:szCs w:val="20"/>
              </w:rPr>
              <w:t>oad/</w:t>
            </w:r>
            <w:r w:rsidRPr="00751FE3">
              <w:rPr>
                <w:rFonts w:cstheme="minorHAnsi"/>
                <w:spacing w:val="-4"/>
                <w:sz w:val="20"/>
                <w:szCs w:val="20"/>
              </w:rPr>
              <w:t xml:space="preserve"> </w:t>
            </w:r>
            <w:r w:rsidRPr="00751FE3">
              <w:rPr>
                <w:rFonts w:cstheme="minorHAnsi"/>
                <w:sz w:val="20"/>
                <w:szCs w:val="20"/>
              </w:rPr>
              <w:t>Availability of Personnel</w:t>
            </w:r>
          </w:p>
        </w:tc>
        <w:tc>
          <w:tcPr>
            <w:tcW w:w="2363" w:type="dxa"/>
            <w:tcBorders>
              <w:top w:val="single" w:sz="4" w:space="0" w:color="656565"/>
              <w:left w:val="single" w:sz="4" w:space="0" w:color="656565"/>
              <w:bottom w:val="single" w:sz="4" w:space="0" w:color="656565"/>
              <w:right w:val="single" w:sz="4" w:space="0" w:color="656565"/>
            </w:tcBorders>
          </w:tcPr>
          <w:p w:rsidR="0033452A" w:rsidRPr="00751FE3" w:rsidRDefault="0033452A">
            <w:pPr>
              <w:autoSpaceDE w:val="0"/>
              <w:autoSpaceDN w:val="0"/>
              <w:adjustRightInd w:val="0"/>
              <w:spacing w:after="0" w:line="240" w:lineRule="auto"/>
              <w:ind w:left="758" w:right="738"/>
              <w:jc w:val="center"/>
              <w:rPr>
                <w:rFonts w:cstheme="minorHAnsi"/>
                <w:sz w:val="20"/>
                <w:szCs w:val="20"/>
              </w:rPr>
            </w:pPr>
            <w:r w:rsidRPr="00751FE3">
              <w:rPr>
                <w:rFonts w:cstheme="minorHAnsi"/>
                <w:spacing w:val="1"/>
                <w:sz w:val="20"/>
                <w:szCs w:val="20"/>
              </w:rPr>
              <w:t>10</w:t>
            </w:r>
          </w:p>
        </w:tc>
        <w:tc>
          <w:tcPr>
            <w:tcW w:w="2480" w:type="dxa"/>
            <w:tcBorders>
              <w:top w:val="single" w:sz="4" w:space="0" w:color="656565"/>
              <w:left w:val="single" w:sz="4" w:space="0" w:color="656565"/>
              <w:bottom w:val="single" w:sz="4" w:space="0" w:color="656565"/>
              <w:right w:val="single" w:sz="4" w:space="0" w:color="656565"/>
            </w:tcBorders>
          </w:tcPr>
          <w:p w:rsidR="0033452A" w:rsidRPr="00751FE3" w:rsidRDefault="0033452A">
            <w:pPr>
              <w:autoSpaceDE w:val="0"/>
              <w:autoSpaceDN w:val="0"/>
              <w:adjustRightInd w:val="0"/>
              <w:spacing w:after="0" w:line="240" w:lineRule="auto"/>
              <w:ind w:left="460" w:right="-20"/>
              <w:rPr>
                <w:rFonts w:cstheme="minorHAnsi"/>
                <w:sz w:val="20"/>
                <w:szCs w:val="20"/>
              </w:rPr>
            </w:pPr>
            <w:r w:rsidRPr="00751FE3">
              <w:rPr>
                <w:rFonts w:cstheme="minorHAnsi"/>
                <w:sz w:val="20"/>
                <w:szCs w:val="20"/>
              </w:rPr>
              <w:t>See</w:t>
            </w:r>
            <w:r w:rsidRPr="00751FE3">
              <w:rPr>
                <w:rFonts w:cstheme="minorHAnsi"/>
                <w:spacing w:val="-2"/>
                <w:sz w:val="20"/>
                <w:szCs w:val="20"/>
              </w:rPr>
              <w:t xml:space="preserve"> </w:t>
            </w:r>
            <w:r w:rsidRPr="00751FE3">
              <w:rPr>
                <w:rFonts w:cstheme="minorHAnsi"/>
                <w:spacing w:val="-1"/>
                <w:sz w:val="20"/>
                <w:szCs w:val="20"/>
              </w:rPr>
              <w:t>c</w:t>
            </w:r>
            <w:r w:rsidRPr="00751FE3">
              <w:rPr>
                <w:rFonts w:cstheme="minorHAnsi"/>
                <w:sz w:val="20"/>
                <w:szCs w:val="20"/>
              </w:rPr>
              <w:t>,</w:t>
            </w:r>
            <w:r w:rsidRPr="00751FE3">
              <w:rPr>
                <w:rFonts w:cstheme="minorHAnsi"/>
                <w:spacing w:val="-1"/>
                <w:sz w:val="20"/>
                <w:szCs w:val="20"/>
              </w:rPr>
              <w:t xml:space="preserve"> </w:t>
            </w:r>
            <w:r w:rsidRPr="00751FE3">
              <w:rPr>
                <w:rFonts w:cstheme="minorHAnsi"/>
                <w:sz w:val="20"/>
                <w:szCs w:val="20"/>
              </w:rPr>
              <w:t>below.</w:t>
            </w:r>
          </w:p>
        </w:tc>
        <w:tc>
          <w:tcPr>
            <w:tcW w:w="2247" w:type="dxa"/>
            <w:tcBorders>
              <w:top w:val="single" w:sz="4" w:space="0" w:color="656565"/>
              <w:left w:val="single" w:sz="4" w:space="0" w:color="656565"/>
              <w:bottom w:val="single" w:sz="4" w:space="0" w:color="656565"/>
              <w:right w:val="single" w:sz="4" w:space="0" w:color="656565"/>
            </w:tcBorders>
          </w:tcPr>
          <w:p w:rsidR="0033452A" w:rsidRPr="00751FE3" w:rsidRDefault="0033452A">
            <w:pPr>
              <w:autoSpaceDE w:val="0"/>
              <w:autoSpaceDN w:val="0"/>
              <w:adjustRightInd w:val="0"/>
              <w:spacing w:after="0" w:line="240" w:lineRule="auto"/>
              <w:rPr>
                <w:rFonts w:cstheme="minorHAnsi"/>
                <w:sz w:val="20"/>
                <w:szCs w:val="20"/>
              </w:rPr>
            </w:pPr>
          </w:p>
        </w:tc>
      </w:tr>
      <w:tr w:rsidR="0033452A" w:rsidTr="00C96220">
        <w:trPr>
          <w:trHeight w:hRule="exact" w:val="529"/>
        </w:trPr>
        <w:tc>
          <w:tcPr>
            <w:tcW w:w="3073" w:type="dxa"/>
            <w:tcBorders>
              <w:top w:val="single" w:sz="4" w:space="0" w:color="656565"/>
              <w:left w:val="single" w:sz="4" w:space="0" w:color="656565"/>
              <w:bottom w:val="single" w:sz="4" w:space="0" w:color="656565"/>
              <w:right w:val="single" w:sz="4" w:space="0" w:color="656565"/>
            </w:tcBorders>
            <w:shd w:val="clear" w:color="auto" w:fill="CCCCCC"/>
          </w:tcPr>
          <w:p w:rsidR="0033452A" w:rsidRPr="00751FE3" w:rsidRDefault="0033452A">
            <w:pPr>
              <w:autoSpaceDE w:val="0"/>
              <w:autoSpaceDN w:val="0"/>
              <w:adjustRightInd w:val="0"/>
              <w:spacing w:after="0" w:line="219" w:lineRule="exact"/>
              <w:ind w:left="102" w:right="-20"/>
              <w:rPr>
                <w:rFonts w:cstheme="minorHAnsi"/>
                <w:sz w:val="20"/>
                <w:szCs w:val="20"/>
              </w:rPr>
            </w:pPr>
            <w:r w:rsidRPr="00751FE3">
              <w:rPr>
                <w:rFonts w:cstheme="minorHAnsi"/>
                <w:b/>
                <w:bCs/>
                <w:spacing w:val="-1"/>
                <w:sz w:val="20"/>
                <w:szCs w:val="20"/>
              </w:rPr>
              <w:t>C</w:t>
            </w:r>
            <w:r w:rsidRPr="00751FE3">
              <w:rPr>
                <w:rFonts w:cstheme="minorHAnsi"/>
                <w:b/>
                <w:bCs/>
                <w:spacing w:val="1"/>
                <w:sz w:val="20"/>
                <w:szCs w:val="20"/>
              </w:rPr>
              <w:t>o</w:t>
            </w:r>
            <w:r w:rsidRPr="00751FE3">
              <w:rPr>
                <w:rFonts w:cstheme="minorHAnsi"/>
                <w:b/>
                <w:bCs/>
                <w:sz w:val="20"/>
                <w:szCs w:val="20"/>
              </w:rPr>
              <w:t>nsult</w:t>
            </w:r>
            <w:r w:rsidRPr="00751FE3">
              <w:rPr>
                <w:rFonts w:cstheme="minorHAnsi"/>
                <w:b/>
                <w:bCs/>
                <w:spacing w:val="-1"/>
                <w:sz w:val="20"/>
                <w:szCs w:val="20"/>
              </w:rPr>
              <w:t>a</w:t>
            </w:r>
            <w:r w:rsidRPr="00751FE3">
              <w:rPr>
                <w:rFonts w:cstheme="minorHAnsi"/>
                <w:b/>
                <w:bCs/>
                <w:sz w:val="20"/>
                <w:szCs w:val="20"/>
              </w:rPr>
              <w:t>nt's</w:t>
            </w:r>
            <w:r w:rsidRPr="00751FE3">
              <w:rPr>
                <w:rFonts w:cstheme="minorHAnsi"/>
                <w:b/>
                <w:bCs/>
                <w:spacing w:val="-8"/>
                <w:sz w:val="20"/>
                <w:szCs w:val="20"/>
              </w:rPr>
              <w:t xml:space="preserve"> </w:t>
            </w:r>
            <w:r w:rsidRPr="00751FE3">
              <w:rPr>
                <w:rFonts w:cstheme="minorHAnsi"/>
                <w:b/>
                <w:bCs/>
                <w:sz w:val="20"/>
                <w:szCs w:val="20"/>
              </w:rPr>
              <w:t>Pa</w:t>
            </w:r>
            <w:r w:rsidRPr="00751FE3">
              <w:rPr>
                <w:rFonts w:cstheme="minorHAnsi"/>
                <w:b/>
                <w:bCs/>
                <w:spacing w:val="-1"/>
                <w:sz w:val="20"/>
                <w:szCs w:val="20"/>
              </w:rPr>
              <w:t>s</w:t>
            </w:r>
            <w:r w:rsidRPr="00751FE3">
              <w:rPr>
                <w:rFonts w:cstheme="minorHAnsi"/>
                <w:b/>
                <w:bCs/>
                <w:sz w:val="20"/>
                <w:szCs w:val="20"/>
              </w:rPr>
              <w:t>t</w:t>
            </w:r>
          </w:p>
          <w:p w:rsidR="0033452A" w:rsidRPr="00751FE3" w:rsidRDefault="0033452A">
            <w:pPr>
              <w:autoSpaceDE w:val="0"/>
              <w:autoSpaceDN w:val="0"/>
              <w:adjustRightInd w:val="0"/>
              <w:spacing w:after="0" w:line="218" w:lineRule="exact"/>
              <w:ind w:left="102" w:right="-20"/>
              <w:rPr>
                <w:rFonts w:cstheme="minorHAnsi"/>
                <w:sz w:val="20"/>
                <w:szCs w:val="20"/>
              </w:rPr>
            </w:pPr>
            <w:r w:rsidRPr="00751FE3">
              <w:rPr>
                <w:rFonts w:cstheme="minorHAnsi"/>
                <w:b/>
                <w:bCs/>
                <w:sz w:val="20"/>
                <w:szCs w:val="20"/>
              </w:rPr>
              <w:t>Performance</w:t>
            </w:r>
          </w:p>
        </w:tc>
        <w:tc>
          <w:tcPr>
            <w:tcW w:w="2363" w:type="dxa"/>
            <w:tcBorders>
              <w:top w:val="single" w:sz="4" w:space="0" w:color="656565"/>
              <w:left w:val="single" w:sz="4" w:space="0" w:color="656565"/>
              <w:bottom w:val="single" w:sz="4" w:space="0" w:color="656565"/>
              <w:right w:val="single" w:sz="4" w:space="0" w:color="656565"/>
            </w:tcBorders>
            <w:shd w:val="clear" w:color="auto" w:fill="CCCCCC"/>
          </w:tcPr>
          <w:p w:rsidR="0033452A" w:rsidRPr="00751FE3" w:rsidRDefault="0033452A">
            <w:pPr>
              <w:autoSpaceDE w:val="0"/>
              <w:autoSpaceDN w:val="0"/>
              <w:adjustRightInd w:val="0"/>
              <w:spacing w:after="0" w:line="229" w:lineRule="exact"/>
              <w:ind w:left="758" w:right="738"/>
              <w:jc w:val="center"/>
              <w:rPr>
                <w:rFonts w:cstheme="minorHAnsi"/>
                <w:sz w:val="20"/>
                <w:szCs w:val="20"/>
              </w:rPr>
            </w:pPr>
            <w:r w:rsidRPr="00751FE3">
              <w:rPr>
                <w:rFonts w:cstheme="minorHAnsi"/>
                <w:spacing w:val="1"/>
                <w:sz w:val="20"/>
                <w:szCs w:val="20"/>
              </w:rPr>
              <w:t>25</w:t>
            </w:r>
          </w:p>
        </w:tc>
        <w:tc>
          <w:tcPr>
            <w:tcW w:w="2480" w:type="dxa"/>
            <w:tcBorders>
              <w:top w:val="single" w:sz="4" w:space="0" w:color="656565"/>
              <w:left w:val="single" w:sz="4" w:space="0" w:color="656565"/>
              <w:bottom w:val="single" w:sz="4" w:space="0" w:color="656565"/>
              <w:right w:val="single" w:sz="4" w:space="0" w:color="656565"/>
            </w:tcBorders>
            <w:shd w:val="clear" w:color="auto" w:fill="CCCCCC"/>
          </w:tcPr>
          <w:p w:rsidR="0033452A" w:rsidRPr="00751FE3" w:rsidRDefault="0033452A">
            <w:pPr>
              <w:autoSpaceDE w:val="0"/>
              <w:autoSpaceDN w:val="0"/>
              <w:adjustRightInd w:val="0"/>
              <w:spacing w:after="0" w:line="219" w:lineRule="exact"/>
              <w:ind w:left="450" w:right="-20"/>
              <w:rPr>
                <w:rFonts w:cstheme="minorHAnsi"/>
                <w:sz w:val="20"/>
                <w:szCs w:val="20"/>
              </w:rPr>
            </w:pPr>
            <w:r w:rsidRPr="00751FE3">
              <w:rPr>
                <w:rFonts w:cstheme="minorHAnsi"/>
                <w:sz w:val="20"/>
                <w:szCs w:val="20"/>
              </w:rPr>
              <w:t>See</w:t>
            </w:r>
            <w:r w:rsidRPr="00751FE3">
              <w:rPr>
                <w:rFonts w:cstheme="minorHAnsi"/>
                <w:spacing w:val="-2"/>
                <w:sz w:val="20"/>
                <w:szCs w:val="20"/>
              </w:rPr>
              <w:t xml:space="preserve"> </w:t>
            </w:r>
            <w:r w:rsidRPr="00751FE3">
              <w:rPr>
                <w:rFonts w:cstheme="minorHAnsi"/>
                <w:sz w:val="20"/>
                <w:szCs w:val="20"/>
              </w:rPr>
              <w:t>d,</w:t>
            </w:r>
            <w:r w:rsidRPr="00751FE3">
              <w:rPr>
                <w:rFonts w:cstheme="minorHAnsi"/>
                <w:spacing w:val="-1"/>
                <w:sz w:val="20"/>
                <w:szCs w:val="20"/>
              </w:rPr>
              <w:t xml:space="preserve"> </w:t>
            </w:r>
            <w:r w:rsidRPr="00751FE3">
              <w:rPr>
                <w:rFonts w:cstheme="minorHAnsi"/>
                <w:sz w:val="20"/>
                <w:szCs w:val="20"/>
              </w:rPr>
              <w:t>below.</w:t>
            </w:r>
          </w:p>
        </w:tc>
        <w:tc>
          <w:tcPr>
            <w:tcW w:w="2247" w:type="dxa"/>
            <w:tcBorders>
              <w:top w:val="single" w:sz="4" w:space="0" w:color="656565"/>
              <w:left w:val="single" w:sz="4" w:space="0" w:color="656565"/>
              <w:bottom w:val="single" w:sz="4" w:space="0" w:color="656565"/>
              <w:right w:val="single" w:sz="4" w:space="0" w:color="656565"/>
            </w:tcBorders>
            <w:shd w:val="clear" w:color="auto" w:fill="CCCCCC"/>
          </w:tcPr>
          <w:p w:rsidR="0033452A" w:rsidRPr="00751FE3" w:rsidRDefault="0033452A">
            <w:pPr>
              <w:autoSpaceDE w:val="0"/>
              <w:autoSpaceDN w:val="0"/>
              <w:adjustRightInd w:val="0"/>
              <w:spacing w:after="0" w:line="240" w:lineRule="auto"/>
              <w:rPr>
                <w:rFonts w:cstheme="minorHAnsi"/>
                <w:sz w:val="20"/>
                <w:szCs w:val="20"/>
              </w:rPr>
            </w:pPr>
          </w:p>
        </w:tc>
      </w:tr>
      <w:tr w:rsidR="0033452A" w:rsidTr="00C96220">
        <w:trPr>
          <w:trHeight w:hRule="exact" w:val="418"/>
        </w:trPr>
        <w:tc>
          <w:tcPr>
            <w:tcW w:w="3073" w:type="dxa"/>
            <w:tcBorders>
              <w:top w:val="single" w:sz="4" w:space="0" w:color="656565"/>
              <w:left w:val="single" w:sz="4" w:space="0" w:color="656565"/>
              <w:bottom w:val="single" w:sz="4" w:space="0" w:color="656565"/>
              <w:right w:val="single" w:sz="4" w:space="0" w:color="656565"/>
            </w:tcBorders>
          </w:tcPr>
          <w:p w:rsidR="0033452A" w:rsidRPr="00751FE3" w:rsidRDefault="0033452A">
            <w:pPr>
              <w:autoSpaceDE w:val="0"/>
              <w:autoSpaceDN w:val="0"/>
              <w:adjustRightInd w:val="0"/>
              <w:spacing w:after="0" w:line="240" w:lineRule="auto"/>
              <w:ind w:left="102" w:right="-20"/>
              <w:rPr>
                <w:rFonts w:cstheme="minorHAnsi"/>
                <w:sz w:val="20"/>
                <w:szCs w:val="20"/>
              </w:rPr>
            </w:pPr>
            <w:r w:rsidRPr="00751FE3">
              <w:rPr>
                <w:rFonts w:cstheme="minorHAnsi"/>
                <w:b/>
                <w:bCs/>
                <w:sz w:val="20"/>
                <w:szCs w:val="20"/>
              </w:rPr>
              <w:t>Project Approa</w:t>
            </w:r>
            <w:r w:rsidRPr="00751FE3">
              <w:rPr>
                <w:rFonts w:cstheme="minorHAnsi"/>
                <w:b/>
                <w:bCs/>
                <w:spacing w:val="-1"/>
                <w:sz w:val="20"/>
                <w:szCs w:val="20"/>
              </w:rPr>
              <w:t>c</w:t>
            </w:r>
            <w:r w:rsidRPr="00751FE3">
              <w:rPr>
                <w:rFonts w:cstheme="minorHAnsi"/>
                <w:b/>
                <w:bCs/>
                <w:sz w:val="20"/>
                <w:szCs w:val="20"/>
              </w:rPr>
              <w:t>h</w:t>
            </w:r>
          </w:p>
        </w:tc>
        <w:tc>
          <w:tcPr>
            <w:tcW w:w="2363" w:type="dxa"/>
            <w:tcBorders>
              <w:top w:val="single" w:sz="4" w:space="0" w:color="656565"/>
              <w:left w:val="single" w:sz="4" w:space="0" w:color="656565"/>
              <w:bottom w:val="single" w:sz="4" w:space="0" w:color="656565"/>
              <w:right w:val="single" w:sz="4" w:space="0" w:color="656565"/>
            </w:tcBorders>
          </w:tcPr>
          <w:p w:rsidR="0033452A" w:rsidRPr="00751FE3" w:rsidRDefault="0033452A">
            <w:pPr>
              <w:autoSpaceDE w:val="0"/>
              <w:autoSpaceDN w:val="0"/>
              <w:adjustRightInd w:val="0"/>
              <w:spacing w:after="0" w:line="240" w:lineRule="auto"/>
              <w:ind w:left="758" w:right="738"/>
              <w:jc w:val="center"/>
              <w:rPr>
                <w:rFonts w:cstheme="minorHAnsi"/>
                <w:sz w:val="20"/>
                <w:szCs w:val="20"/>
              </w:rPr>
            </w:pPr>
            <w:r w:rsidRPr="00751FE3">
              <w:rPr>
                <w:rFonts w:cstheme="minorHAnsi"/>
                <w:spacing w:val="1"/>
                <w:sz w:val="20"/>
                <w:szCs w:val="20"/>
              </w:rPr>
              <w:t>25</w:t>
            </w:r>
          </w:p>
        </w:tc>
        <w:tc>
          <w:tcPr>
            <w:tcW w:w="2480" w:type="dxa"/>
            <w:tcBorders>
              <w:top w:val="single" w:sz="4" w:space="0" w:color="656565"/>
              <w:left w:val="single" w:sz="4" w:space="0" w:color="656565"/>
              <w:bottom w:val="single" w:sz="4" w:space="0" w:color="656565"/>
              <w:right w:val="single" w:sz="4" w:space="0" w:color="656565"/>
            </w:tcBorders>
          </w:tcPr>
          <w:p w:rsidR="0033452A" w:rsidRPr="00751FE3" w:rsidRDefault="0033452A">
            <w:pPr>
              <w:autoSpaceDE w:val="0"/>
              <w:autoSpaceDN w:val="0"/>
              <w:adjustRightInd w:val="0"/>
              <w:spacing w:after="0" w:line="240" w:lineRule="auto"/>
              <w:ind w:left="453" w:right="-20"/>
              <w:rPr>
                <w:rFonts w:cstheme="minorHAnsi"/>
                <w:sz w:val="20"/>
                <w:szCs w:val="20"/>
              </w:rPr>
            </w:pPr>
            <w:r w:rsidRPr="00751FE3">
              <w:rPr>
                <w:rFonts w:cstheme="minorHAnsi"/>
                <w:sz w:val="20"/>
                <w:szCs w:val="20"/>
              </w:rPr>
              <w:t>See</w:t>
            </w:r>
            <w:r w:rsidRPr="00751FE3">
              <w:rPr>
                <w:rFonts w:cstheme="minorHAnsi"/>
                <w:spacing w:val="-2"/>
                <w:sz w:val="20"/>
                <w:szCs w:val="20"/>
              </w:rPr>
              <w:t xml:space="preserve"> </w:t>
            </w:r>
            <w:r w:rsidRPr="00751FE3">
              <w:rPr>
                <w:rFonts w:cstheme="minorHAnsi"/>
                <w:sz w:val="20"/>
                <w:szCs w:val="20"/>
              </w:rPr>
              <w:t>e,</w:t>
            </w:r>
            <w:r w:rsidRPr="00751FE3">
              <w:rPr>
                <w:rFonts w:cstheme="minorHAnsi"/>
                <w:spacing w:val="-1"/>
                <w:sz w:val="20"/>
                <w:szCs w:val="20"/>
              </w:rPr>
              <w:t xml:space="preserve"> b</w:t>
            </w:r>
            <w:r w:rsidRPr="00751FE3">
              <w:rPr>
                <w:rFonts w:cstheme="minorHAnsi"/>
                <w:sz w:val="20"/>
                <w:szCs w:val="20"/>
              </w:rPr>
              <w:t>e</w:t>
            </w:r>
            <w:r w:rsidRPr="00751FE3">
              <w:rPr>
                <w:rFonts w:cstheme="minorHAnsi"/>
                <w:spacing w:val="-1"/>
                <w:sz w:val="20"/>
                <w:szCs w:val="20"/>
              </w:rPr>
              <w:t>low.</w:t>
            </w:r>
          </w:p>
        </w:tc>
        <w:tc>
          <w:tcPr>
            <w:tcW w:w="2247" w:type="dxa"/>
            <w:tcBorders>
              <w:top w:val="single" w:sz="4" w:space="0" w:color="656565"/>
              <w:left w:val="single" w:sz="4" w:space="0" w:color="656565"/>
              <w:bottom w:val="single" w:sz="4" w:space="0" w:color="656565"/>
              <w:right w:val="single" w:sz="4" w:space="0" w:color="656565"/>
            </w:tcBorders>
          </w:tcPr>
          <w:p w:rsidR="0033452A" w:rsidRPr="00751FE3" w:rsidRDefault="0033452A">
            <w:pPr>
              <w:autoSpaceDE w:val="0"/>
              <w:autoSpaceDN w:val="0"/>
              <w:adjustRightInd w:val="0"/>
              <w:spacing w:after="0" w:line="240" w:lineRule="auto"/>
              <w:rPr>
                <w:rFonts w:cstheme="minorHAnsi"/>
                <w:sz w:val="20"/>
                <w:szCs w:val="20"/>
              </w:rPr>
            </w:pPr>
          </w:p>
        </w:tc>
      </w:tr>
      <w:tr w:rsidR="0033452A" w:rsidTr="00C96220">
        <w:trPr>
          <w:trHeight w:hRule="exact" w:val="532"/>
        </w:trPr>
        <w:tc>
          <w:tcPr>
            <w:tcW w:w="3073" w:type="dxa"/>
            <w:tcBorders>
              <w:top w:val="single" w:sz="4" w:space="0" w:color="656565"/>
              <w:left w:val="single" w:sz="4" w:space="0" w:color="656565"/>
              <w:bottom w:val="single" w:sz="4" w:space="0" w:color="656565"/>
              <w:right w:val="single" w:sz="4" w:space="0" w:color="656565"/>
            </w:tcBorders>
          </w:tcPr>
          <w:p w:rsidR="0033452A" w:rsidRPr="00751FE3" w:rsidRDefault="0033452A">
            <w:pPr>
              <w:autoSpaceDE w:val="0"/>
              <w:autoSpaceDN w:val="0"/>
              <w:adjustRightInd w:val="0"/>
              <w:spacing w:after="0" w:line="219" w:lineRule="exact"/>
              <w:ind w:left="102" w:right="-20"/>
              <w:rPr>
                <w:rFonts w:cstheme="minorHAnsi"/>
                <w:sz w:val="20"/>
                <w:szCs w:val="20"/>
              </w:rPr>
            </w:pPr>
            <w:r w:rsidRPr="00751FE3">
              <w:rPr>
                <w:rFonts w:cstheme="minorHAnsi"/>
                <w:sz w:val="20"/>
                <w:szCs w:val="20"/>
              </w:rPr>
              <w:t>TOTAL</w:t>
            </w:r>
          </w:p>
        </w:tc>
        <w:tc>
          <w:tcPr>
            <w:tcW w:w="2363" w:type="dxa"/>
            <w:tcBorders>
              <w:top w:val="single" w:sz="4" w:space="0" w:color="656565"/>
              <w:left w:val="single" w:sz="4" w:space="0" w:color="656565"/>
              <w:bottom w:val="single" w:sz="4" w:space="0" w:color="656565"/>
              <w:right w:val="single" w:sz="4" w:space="0" w:color="656565"/>
            </w:tcBorders>
          </w:tcPr>
          <w:p w:rsidR="0033452A" w:rsidRPr="00751FE3" w:rsidRDefault="0033452A">
            <w:pPr>
              <w:autoSpaceDE w:val="0"/>
              <w:autoSpaceDN w:val="0"/>
              <w:adjustRightInd w:val="0"/>
              <w:spacing w:after="0" w:line="229" w:lineRule="exact"/>
              <w:ind w:left="709" w:right="688"/>
              <w:jc w:val="center"/>
              <w:rPr>
                <w:rFonts w:cstheme="minorHAnsi"/>
                <w:sz w:val="20"/>
                <w:szCs w:val="20"/>
              </w:rPr>
            </w:pPr>
            <w:r w:rsidRPr="00751FE3">
              <w:rPr>
                <w:rFonts w:cstheme="minorHAnsi"/>
                <w:spacing w:val="1"/>
                <w:sz w:val="20"/>
                <w:szCs w:val="20"/>
                <w:u w:val="double"/>
              </w:rPr>
              <w:t>1</w:t>
            </w:r>
            <w:r w:rsidRPr="00751FE3">
              <w:rPr>
                <w:rFonts w:cstheme="minorHAnsi"/>
                <w:spacing w:val="-1"/>
                <w:sz w:val="20"/>
                <w:szCs w:val="20"/>
                <w:u w:val="double"/>
              </w:rPr>
              <w:t>0</w:t>
            </w:r>
            <w:r w:rsidR="007E22DE" w:rsidRPr="00751FE3">
              <w:rPr>
                <w:rFonts w:cstheme="minorHAnsi"/>
                <w:spacing w:val="-1"/>
                <w:sz w:val="20"/>
                <w:szCs w:val="20"/>
                <w:u w:val="double"/>
              </w:rPr>
              <w:t>0</w:t>
            </w:r>
          </w:p>
        </w:tc>
        <w:tc>
          <w:tcPr>
            <w:tcW w:w="2480" w:type="dxa"/>
            <w:tcBorders>
              <w:top w:val="single" w:sz="4" w:space="0" w:color="656565"/>
              <w:left w:val="single" w:sz="4" w:space="0" w:color="656565"/>
              <w:bottom w:val="single" w:sz="4" w:space="0" w:color="656565"/>
              <w:right w:val="single" w:sz="4" w:space="0" w:color="656565"/>
            </w:tcBorders>
          </w:tcPr>
          <w:p w:rsidR="0033452A" w:rsidRPr="00751FE3" w:rsidRDefault="0033452A">
            <w:pPr>
              <w:autoSpaceDE w:val="0"/>
              <w:autoSpaceDN w:val="0"/>
              <w:adjustRightInd w:val="0"/>
              <w:spacing w:after="0" w:line="240" w:lineRule="auto"/>
              <w:rPr>
                <w:rFonts w:cstheme="minorHAnsi"/>
                <w:sz w:val="20"/>
                <w:szCs w:val="20"/>
              </w:rPr>
            </w:pPr>
          </w:p>
        </w:tc>
        <w:tc>
          <w:tcPr>
            <w:tcW w:w="2247" w:type="dxa"/>
            <w:tcBorders>
              <w:top w:val="single" w:sz="4" w:space="0" w:color="656565"/>
              <w:left w:val="single" w:sz="4" w:space="0" w:color="656565"/>
              <w:bottom w:val="single" w:sz="4" w:space="0" w:color="656565"/>
              <w:right w:val="single" w:sz="4" w:space="0" w:color="656565"/>
            </w:tcBorders>
          </w:tcPr>
          <w:p w:rsidR="0033452A" w:rsidRPr="00751FE3" w:rsidRDefault="0033452A">
            <w:pPr>
              <w:autoSpaceDE w:val="0"/>
              <w:autoSpaceDN w:val="0"/>
              <w:adjustRightInd w:val="0"/>
              <w:spacing w:after="0" w:line="240" w:lineRule="auto"/>
              <w:rPr>
                <w:rFonts w:cstheme="minorHAnsi"/>
                <w:sz w:val="20"/>
                <w:szCs w:val="20"/>
              </w:rPr>
            </w:pPr>
          </w:p>
        </w:tc>
      </w:tr>
    </w:tbl>
    <w:p w:rsidR="00395209" w:rsidRPr="00395209" w:rsidRDefault="0033452A" w:rsidP="00395209">
      <w:pPr>
        <w:pStyle w:val="01Heading"/>
        <w:numPr>
          <w:ilvl w:val="0"/>
          <w:numId w:val="20"/>
        </w:numPr>
        <w:spacing w:before="120" w:line="240" w:lineRule="auto"/>
        <w:rPr>
          <w:sz w:val="24"/>
          <w:szCs w:val="24"/>
        </w:rPr>
      </w:pPr>
      <w:r w:rsidRPr="00395209">
        <w:rPr>
          <w:sz w:val="24"/>
          <w:szCs w:val="24"/>
        </w:rPr>
        <w:t>Project Manager</w:t>
      </w:r>
      <w:r w:rsidR="00395209">
        <w:rPr>
          <w:sz w:val="24"/>
          <w:szCs w:val="24"/>
        </w:rPr>
        <w:t xml:space="preserve">.  </w:t>
      </w:r>
      <w:r w:rsidRPr="00395209">
        <w:rPr>
          <w:b w:val="0"/>
          <w:sz w:val="24"/>
          <w:szCs w:val="24"/>
        </w:rPr>
        <w:t xml:space="preserve">The proposed project manager for each consultant shall be ranked, with the highest ranked project manager receiving the greatest number of points, and lower ranked project managers receiving commensurately lower scores. The rankings and scores should be based on each project manager's experience on similar projects and past performance </w:t>
      </w:r>
      <w:r w:rsidR="007E22DE" w:rsidRPr="00395209">
        <w:rPr>
          <w:b w:val="0"/>
          <w:sz w:val="24"/>
          <w:szCs w:val="24"/>
        </w:rPr>
        <w:t>with the City of Canton</w:t>
      </w:r>
      <w:r w:rsidRPr="00395209">
        <w:rPr>
          <w:b w:val="0"/>
          <w:sz w:val="24"/>
          <w:szCs w:val="24"/>
        </w:rPr>
        <w:t xml:space="preserve">. </w:t>
      </w:r>
    </w:p>
    <w:p w:rsidR="00395209" w:rsidRDefault="0033452A" w:rsidP="00395209">
      <w:pPr>
        <w:pStyle w:val="01Heading"/>
        <w:numPr>
          <w:ilvl w:val="0"/>
          <w:numId w:val="20"/>
        </w:numPr>
        <w:spacing w:before="120" w:line="240" w:lineRule="auto"/>
        <w:rPr>
          <w:sz w:val="24"/>
          <w:szCs w:val="24"/>
        </w:rPr>
      </w:pPr>
      <w:r w:rsidRPr="00395209">
        <w:rPr>
          <w:sz w:val="24"/>
          <w:szCs w:val="24"/>
        </w:rPr>
        <w:t>Strength/Experience of Assigned Staff, including Sub</w:t>
      </w:r>
      <w:r w:rsidR="00395209">
        <w:rPr>
          <w:sz w:val="24"/>
          <w:szCs w:val="24"/>
        </w:rPr>
        <w:t>-</w:t>
      </w:r>
      <w:r w:rsidRPr="00395209">
        <w:rPr>
          <w:sz w:val="24"/>
          <w:szCs w:val="24"/>
        </w:rPr>
        <w:t>consultants</w:t>
      </w:r>
      <w:r w:rsidR="00395209">
        <w:rPr>
          <w:sz w:val="24"/>
          <w:szCs w:val="24"/>
        </w:rPr>
        <w:t xml:space="preserve">.  </w:t>
      </w:r>
      <w:r w:rsidRPr="00395209">
        <w:rPr>
          <w:b w:val="0"/>
          <w:sz w:val="24"/>
          <w:szCs w:val="24"/>
        </w:rPr>
        <w:t>The experience and strength of the assigned staff, including subconsultant staff, should be ranked and</w:t>
      </w:r>
      <w:r w:rsidR="00C7466B" w:rsidRPr="00395209">
        <w:rPr>
          <w:b w:val="0"/>
          <w:sz w:val="24"/>
          <w:szCs w:val="24"/>
        </w:rPr>
        <w:t xml:space="preserve"> </w:t>
      </w:r>
      <w:r w:rsidRPr="00395209">
        <w:rPr>
          <w:b w:val="0"/>
          <w:sz w:val="24"/>
          <w:szCs w:val="24"/>
        </w:rPr>
        <w:t xml:space="preserve">scored </w:t>
      </w:r>
      <w:r w:rsidR="007E22DE" w:rsidRPr="00395209">
        <w:rPr>
          <w:b w:val="0"/>
          <w:sz w:val="24"/>
          <w:szCs w:val="24"/>
        </w:rPr>
        <w:t xml:space="preserve">in a similar manner </w:t>
      </w:r>
      <w:r w:rsidRPr="00395209">
        <w:rPr>
          <w:b w:val="0"/>
          <w:sz w:val="24"/>
          <w:szCs w:val="24"/>
        </w:rPr>
        <w:t xml:space="preserve">as </w:t>
      </w:r>
      <w:r w:rsidRPr="00395209">
        <w:rPr>
          <w:b w:val="0"/>
          <w:sz w:val="24"/>
          <w:szCs w:val="24"/>
        </w:rPr>
        <w:lastRenderedPageBreak/>
        <w:t xml:space="preserve">noted for </w:t>
      </w:r>
      <w:r w:rsidR="007E22DE" w:rsidRPr="00395209">
        <w:rPr>
          <w:b w:val="0"/>
          <w:sz w:val="24"/>
          <w:szCs w:val="24"/>
        </w:rPr>
        <w:t>item a.</w:t>
      </w:r>
      <w:r w:rsidRPr="00395209">
        <w:rPr>
          <w:b w:val="0"/>
          <w:sz w:val="24"/>
          <w:szCs w:val="24"/>
        </w:rPr>
        <w:t xml:space="preserve"> above, with higher differential scores assigned on more difficult</w:t>
      </w:r>
      <w:r w:rsidR="00C7466B" w:rsidRPr="00395209">
        <w:rPr>
          <w:b w:val="0"/>
          <w:sz w:val="24"/>
          <w:szCs w:val="24"/>
        </w:rPr>
        <w:t xml:space="preserve"> </w:t>
      </w:r>
      <w:r w:rsidRPr="00395209">
        <w:rPr>
          <w:b w:val="0"/>
          <w:sz w:val="24"/>
          <w:szCs w:val="24"/>
        </w:rPr>
        <w:t>projects. Any subfactors identified in the project notification should be weighed heavily in the</w:t>
      </w:r>
      <w:r w:rsidR="00C7466B" w:rsidRPr="00395209">
        <w:rPr>
          <w:b w:val="0"/>
          <w:sz w:val="24"/>
          <w:szCs w:val="24"/>
        </w:rPr>
        <w:t xml:space="preserve"> </w:t>
      </w:r>
      <w:r w:rsidRPr="00395209">
        <w:rPr>
          <w:b w:val="0"/>
          <w:sz w:val="24"/>
          <w:szCs w:val="24"/>
        </w:rPr>
        <w:t>differential scoring.</w:t>
      </w:r>
    </w:p>
    <w:p w:rsidR="00395209" w:rsidRPr="00395209" w:rsidRDefault="0033452A" w:rsidP="00395209">
      <w:pPr>
        <w:pStyle w:val="01Heading"/>
        <w:numPr>
          <w:ilvl w:val="0"/>
          <w:numId w:val="20"/>
        </w:numPr>
        <w:spacing w:before="120" w:line="240" w:lineRule="auto"/>
        <w:rPr>
          <w:sz w:val="24"/>
          <w:szCs w:val="24"/>
        </w:rPr>
      </w:pPr>
      <w:r w:rsidRPr="00395209">
        <w:rPr>
          <w:sz w:val="24"/>
          <w:szCs w:val="24"/>
        </w:rPr>
        <w:t>Firm's Current Work</w:t>
      </w:r>
      <w:r w:rsidR="00395209">
        <w:rPr>
          <w:sz w:val="24"/>
          <w:szCs w:val="24"/>
        </w:rPr>
        <w:t>load/ Availability of Personnel.</w:t>
      </w:r>
      <w:r w:rsidR="00395209">
        <w:rPr>
          <w:b w:val="0"/>
          <w:sz w:val="24"/>
          <w:szCs w:val="24"/>
        </w:rPr>
        <w:t xml:space="preserve">  </w:t>
      </w:r>
      <w:r w:rsidRPr="00395209">
        <w:rPr>
          <w:b w:val="0"/>
          <w:sz w:val="24"/>
          <w:szCs w:val="24"/>
        </w:rPr>
        <w:t>In instances when a consultant is simultaneously being considered for selection on multiple projects,</w:t>
      </w:r>
      <w:r w:rsidR="00C7466B" w:rsidRPr="00395209">
        <w:rPr>
          <w:b w:val="0"/>
          <w:sz w:val="24"/>
          <w:szCs w:val="24"/>
        </w:rPr>
        <w:t xml:space="preserve"> </w:t>
      </w:r>
      <w:r w:rsidRPr="00395209">
        <w:rPr>
          <w:b w:val="0"/>
          <w:sz w:val="24"/>
          <w:szCs w:val="24"/>
        </w:rPr>
        <w:t>or a consultant’s current workload may impact their ability to complete the work as proposed, the</w:t>
      </w:r>
      <w:r w:rsidR="00C7466B" w:rsidRPr="00395209">
        <w:rPr>
          <w:b w:val="0"/>
          <w:sz w:val="24"/>
          <w:szCs w:val="24"/>
        </w:rPr>
        <w:t xml:space="preserve"> </w:t>
      </w:r>
      <w:r w:rsidRPr="00395209">
        <w:rPr>
          <w:b w:val="0"/>
          <w:sz w:val="24"/>
          <w:szCs w:val="24"/>
        </w:rPr>
        <w:t>firm’s current workload and availability of qualified personnel shall be considered. In the selection</w:t>
      </w:r>
      <w:r w:rsidR="00C7466B" w:rsidRPr="00395209">
        <w:rPr>
          <w:b w:val="0"/>
          <w:sz w:val="24"/>
          <w:szCs w:val="24"/>
        </w:rPr>
        <w:t xml:space="preserve"> </w:t>
      </w:r>
      <w:r w:rsidRPr="00395209">
        <w:rPr>
          <w:b w:val="0"/>
          <w:sz w:val="24"/>
          <w:szCs w:val="24"/>
        </w:rPr>
        <w:t>rating form, the full value of the “Firm’s Current Workload/Availability of Personnel” rating</w:t>
      </w:r>
      <w:r w:rsidR="00C7466B" w:rsidRPr="00395209">
        <w:rPr>
          <w:b w:val="0"/>
          <w:sz w:val="24"/>
          <w:szCs w:val="24"/>
        </w:rPr>
        <w:t xml:space="preserve"> </w:t>
      </w:r>
      <w:r w:rsidRPr="00395209">
        <w:rPr>
          <w:b w:val="0"/>
          <w:sz w:val="24"/>
          <w:szCs w:val="24"/>
        </w:rPr>
        <w:t>category (ten points) shall be allocated to the selected firm to indicate the Department’s quantifiable</w:t>
      </w:r>
      <w:r w:rsidR="00C7466B" w:rsidRPr="00395209">
        <w:rPr>
          <w:b w:val="0"/>
          <w:sz w:val="24"/>
          <w:szCs w:val="24"/>
        </w:rPr>
        <w:t xml:space="preserve"> </w:t>
      </w:r>
      <w:r w:rsidRPr="00395209">
        <w:rPr>
          <w:b w:val="0"/>
          <w:sz w:val="24"/>
          <w:szCs w:val="24"/>
        </w:rPr>
        <w:t>concerns regarding the ability of a firm (or firms) rated higher in other categories to complete the</w:t>
      </w:r>
      <w:r w:rsidR="00C7466B" w:rsidRPr="00395209">
        <w:rPr>
          <w:b w:val="0"/>
          <w:sz w:val="24"/>
          <w:szCs w:val="24"/>
        </w:rPr>
        <w:t xml:space="preserve"> </w:t>
      </w:r>
      <w:r w:rsidRPr="00395209">
        <w:rPr>
          <w:b w:val="0"/>
          <w:sz w:val="24"/>
          <w:szCs w:val="24"/>
        </w:rPr>
        <w:t>work with staff members named in the letter of interest</w:t>
      </w:r>
      <w:r w:rsidR="00395209">
        <w:rPr>
          <w:b w:val="0"/>
          <w:sz w:val="24"/>
          <w:szCs w:val="24"/>
        </w:rPr>
        <w:t>.</w:t>
      </w:r>
    </w:p>
    <w:p w:rsidR="00395209" w:rsidRDefault="0033452A" w:rsidP="00395209">
      <w:pPr>
        <w:pStyle w:val="01Heading"/>
        <w:numPr>
          <w:ilvl w:val="0"/>
          <w:numId w:val="20"/>
        </w:numPr>
        <w:spacing w:before="120" w:line="240" w:lineRule="auto"/>
        <w:rPr>
          <w:sz w:val="24"/>
          <w:szCs w:val="24"/>
        </w:rPr>
      </w:pPr>
      <w:r w:rsidRPr="00395209">
        <w:rPr>
          <w:sz w:val="24"/>
          <w:szCs w:val="24"/>
        </w:rPr>
        <w:t>Consultant's Past Performance</w:t>
      </w:r>
      <w:r w:rsidR="00395209">
        <w:rPr>
          <w:sz w:val="24"/>
          <w:szCs w:val="24"/>
        </w:rPr>
        <w:t>.</w:t>
      </w:r>
      <w:r w:rsidR="00395209">
        <w:rPr>
          <w:b w:val="0"/>
          <w:sz w:val="24"/>
          <w:szCs w:val="24"/>
        </w:rPr>
        <w:t xml:space="preserve">  </w:t>
      </w:r>
      <w:r w:rsidRPr="00395209">
        <w:rPr>
          <w:b w:val="0"/>
          <w:sz w:val="24"/>
          <w:szCs w:val="24"/>
        </w:rPr>
        <w:t>The consultants' past performance on similar projects, including subconsultant performance, shall be</w:t>
      </w:r>
      <w:r w:rsidR="00C7466B" w:rsidRPr="00395209">
        <w:rPr>
          <w:b w:val="0"/>
          <w:sz w:val="24"/>
          <w:szCs w:val="24"/>
        </w:rPr>
        <w:t xml:space="preserve"> </w:t>
      </w:r>
      <w:r w:rsidRPr="00395209">
        <w:rPr>
          <w:b w:val="0"/>
          <w:sz w:val="24"/>
          <w:szCs w:val="24"/>
        </w:rPr>
        <w:t>ranked and scored on a relative, differential scoring type basis, with the highest ranked consultant</w:t>
      </w:r>
      <w:r w:rsidR="00C7466B" w:rsidRPr="00395209">
        <w:rPr>
          <w:b w:val="0"/>
          <w:sz w:val="24"/>
          <w:szCs w:val="24"/>
        </w:rPr>
        <w:t xml:space="preserve"> </w:t>
      </w:r>
      <w:r w:rsidRPr="00395209">
        <w:rPr>
          <w:b w:val="0"/>
          <w:sz w:val="24"/>
          <w:szCs w:val="24"/>
        </w:rPr>
        <w:t>receiving a commensurately greater number of points.</w:t>
      </w:r>
      <w:r w:rsidR="00395209">
        <w:rPr>
          <w:sz w:val="24"/>
          <w:szCs w:val="24"/>
        </w:rPr>
        <w:t xml:space="preserve">  </w:t>
      </w:r>
    </w:p>
    <w:p w:rsidR="00395209" w:rsidRDefault="0033452A" w:rsidP="00395209">
      <w:pPr>
        <w:pStyle w:val="01Heading"/>
        <w:spacing w:before="120" w:line="240" w:lineRule="auto"/>
        <w:ind w:left="720" w:firstLine="0"/>
        <w:rPr>
          <w:sz w:val="24"/>
          <w:szCs w:val="24"/>
        </w:rPr>
      </w:pPr>
      <w:r w:rsidRPr="00395209">
        <w:rPr>
          <w:b w:val="0"/>
          <w:sz w:val="24"/>
          <w:szCs w:val="24"/>
        </w:rPr>
        <w:t>Note: The differential scoring should consider the complexity of the project and any subfactors identified in</w:t>
      </w:r>
      <w:r w:rsidR="00C7466B" w:rsidRPr="00395209">
        <w:rPr>
          <w:b w:val="0"/>
          <w:sz w:val="24"/>
          <w:szCs w:val="24"/>
        </w:rPr>
        <w:t xml:space="preserve"> </w:t>
      </w:r>
      <w:r w:rsidRPr="00395209">
        <w:rPr>
          <w:b w:val="0"/>
          <w:sz w:val="24"/>
          <w:szCs w:val="24"/>
        </w:rPr>
        <w:t>the project notification.</w:t>
      </w:r>
    </w:p>
    <w:p w:rsidR="00395209" w:rsidRDefault="0033452A" w:rsidP="00395209">
      <w:pPr>
        <w:pStyle w:val="01Heading"/>
        <w:numPr>
          <w:ilvl w:val="0"/>
          <w:numId w:val="20"/>
        </w:numPr>
        <w:spacing w:before="120" w:line="240" w:lineRule="auto"/>
        <w:rPr>
          <w:sz w:val="24"/>
          <w:szCs w:val="24"/>
        </w:rPr>
      </w:pPr>
      <w:r w:rsidRPr="00395209">
        <w:rPr>
          <w:sz w:val="24"/>
          <w:szCs w:val="24"/>
          <w:u w:val="single"/>
        </w:rPr>
        <w:t>Project Approach</w:t>
      </w:r>
      <w:r w:rsidR="00395209">
        <w:rPr>
          <w:sz w:val="24"/>
          <w:szCs w:val="24"/>
        </w:rPr>
        <w:t xml:space="preserve">.  </w:t>
      </w:r>
      <w:r w:rsidRPr="00395209">
        <w:rPr>
          <w:b w:val="0"/>
          <w:sz w:val="24"/>
          <w:szCs w:val="24"/>
        </w:rPr>
        <w:t>Evaluation of the firm’s project approach shall consider:</w:t>
      </w:r>
    </w:p>
    <w:p w:rsidR="00395209" w:rsidRDefault="0033452A" w:rsidP="00395209">
      <w:pPr>
        <w:pStyle w:val="01Heading"/>
        <w:numPr>
          <w:ilvl w:val="1"/>
          <w:numId w:val="20"/>
        </w:numPr>
        <w:spacing w:before="120" w:line="240" w:lineRule="auto"/>
        <w:rPr>
          <w:sz w:val="24"/>
          <w:szCs w:val="24"/>
        </w:rPr>
      </w:pPr>
      <w:r w:rsidRPr="00395209">
        <w:rPr>
          <w:b w:val="0"/>
          <w:sz w:val="24"/>
          <w:szCs w:val="24"/>
        </w:rPr>
        <w:t xml:space="preserve">Whether the firm has visited the </w:t>
      </w:r>
      <w:r w:rsidR="005E4BC4" w:rsidRPr="00395209">
        <w:rPr>
          <w:b w:val="0"/>
          <w:sz w:val="24"/>
          <w:szCs w:val="24"/>
        </w:rPr>
        <w:t>facility.</w:t>
      </w:r>
    </w:p>
    <w:p w:rsidR="00395209" w:rsidRDefault="0033452A" w:rsidP="00395209">
      <w:pPr>
        <w:pStyle w:val="01Heading"/>
        <w:numPr>
          <w:ilvl w:val="1"/>
          <w:numId w:val="20"/>
        </w:numPr>
        <w:spacing w:before="120" w:line="240" w:lineRule="auto"/>
        <w:rPr>
          <w:sz w:val="24"/>
          <w:szCs w:val="24"/>
        </w:rPr>
      </w:pPr>
      <w:r w:rsidRPr="00395209">
        <w:rPr>
          <w:b w:val="0"/>
          <w:sz w:val="24"/>
          <w:szCs w:val="24"/>
        </w:rPr>
        <w:t>The firm's technical approach and understanding of the project.</w:t>
      </w:r>
    </w:p>
    <w:p w:rsidR="00395209" w:rsidRDefault="0033452A" w:rsidP="00395209">
      <w:pPr>
        <w:pStyle w:val="01Heading"/>
        <w:numPr>
          <w:ilvl w:val="1"/>
          <w:numId w:val="20"/>
        </w:numPr>
        <w:spacing w:before="120" w:line="240" w:lineRule="auto"/>
        <w:rPr>
          <w:sz w:val="24"/>
          <w:szCs w:val="24"/>
        </w:rPr>
      </w:pPr>
      <w:r w:rsidRPr="00395209">
        <w:rPr>
          <w:b w:val="0"/>
          <w:sz w:val="24"/>
          <w:szCs w:val="24"/>
        </w:rPr>
        <w:t xml:space="preserve">The firm's qualifications for the project including knowledge and experience concerning relevant </w:t>
      </w:r>
      <w:r w:rsidR="007E22DE" w:rsidRPr="00395209">
        <w:rPr>
          <w:b w:val="0"/>
          <w:sz w:val="24"/>
          <w:szCs w:val="24"/>
        </w:rPr>
        <w:t xml:space="preserve">City of Canton </w:t>
      </w:r>
      <w:r w:rsidRPr="00395209">
        <w:rPr>
          <w:b w:val="0"/>
          <w:sz w:val="24"/>
          <w:szCs w:val="24"/>
        </w:rPr>
        <w:t>standards, procedures and guidance documents.</w:t>
      </w:r>
    </w:p>
    <w:p w:rsidR="00395209" w:rsidRDefault="0033452A" w:rsidP="00395209">
      <w:pPr>
        <w:pStyle w:val="01Heading"/>
        <w:numPr>
          <w:ilvl w:val="1"/>
          <w:numId w:val="20"/>
        </w:numPr>
        <w:spacing w:before="120" w:line="240" w:lineRule="auto"/>
        <w:rPr>
          <w:sz w:val="24"/>
          <w:szCs w:val="24"/>
        </w:rPr>
      </w:pPr>
      <w:r w:rsidRPr="00395209">
        <w:rPr>
          <w:b w:val="0"/>
          <w:sz w:val="24"/>
          <w:szCs w:val="24"/>
        </w:rPr>
        <w:t>Any innovative ideas.</w:t>
      </w:r>
      <w:r w:rsidR="00E00407" w:rsidRPr="00395209">
        <w:rPr>
          <w:b w:val="0"/>
          <w:sz w:val="24"/>
          <w:szCs w:val="24"/>
        </w:rPr>
        <w:t xml:space="preserve">  </w:t>
      </w:r>
      <w:r w:rsidRPr="00395209">
        <w:rPr>
          <w:b w:val="0"/>
          <w:sz w:val="24"/>
          <w:szCs w:val="24"/>
        </w:rPr>
        <w:t>When considering this factor in rating firms, the type of project and the relevance of this factor to the project must be considered. For task order and construction inspection projects, and small, uncomplicated design projects, the possibility for innovation may be very limited. Larger, more complex projects will generally offer more opportunities for innovation. Consultants that identify truly innovative ideas should receive credit in the selection rating, but this factor can be disregarded when projects offer little opportunity for innovation.</w:t>
      </w:r>
    </w:p>
    <w:p w:rsidR="00395209" w:rsidRDefault="0033452A" w:rsidP="00395209">
      <w:pPr>
        <w:pStyle w:val="01Heading"/>
        <w:numPr>
          <w:ilvl w:val="1"/>
          <w:numId w:val="20"/>
        </w:numPr>
        <w:spacing w:before="120" w:line="240" w:lineRule="auto"/>
        <w:rPr>
          <w:sz w:val="24"/>
          <w:szCs w:val="24"/>
        </w:rPr>
      </w:pPr>
      <w:r w:rsidRPr="00395209">
        <w:rPr>
          <w:b w:val="0"/>
          <w:sz w:val="24"/>
          <w:szCs w:val="24"/>
        </w:rPr>
        <w:t>The firm's project specific plan for ensuring increased quality, reduced project delivery time, and reduced project costs.</w:t>
      </w:r>
    </w:p>
    <w:p w:rsidR="0033452A" w:rsidRDefault="0033452A" w:rsidP="00395209">
      <w:pPr>
        <w:pStyle w:val="01Heading"/>
        <w:spacing w:before="120" w:line="240" w:lineRule="auto"/>
        <w:ind w:left="1440" w:firstLine="0"/>
        <w:rPr>
          <w:b w:val="0"/>
          <w:sz w:val="24"/>
          <w:szCs w:val="24"/>
        </w:rPr>
      </w:pPr>
      <w:r w:rsidRPr="00395209">
        <w:rPr>
          <w:b w:val="0"/>
          <w:sz w:val="24"/>
          <w:szCs w:val="24"/>
        </w:rPr>
        <w:t xml:space="preserve">Note: These factors will be relatively more important and relevant to a complex </w:t>
      </w:r>
      <w:r w:rsidR="00C41825" w:rsidRPr="00395209">
        <w:rPr>
          <w:b w:val="0"/>
          <w:sz w:val="24"/>
          <w:szCs w:val="24"/>
        </w:rPr>
        <w:t>City</w:t>
      </w:r>
      <w:r w:rsidRPr="00395209">
        <w:rPr>
          <w:b w:val="0"/>
          <w:sz w:val="24"/>
          <w:szCs w:val="24"/>
        </w:rPr>
        <w:t xml:space="preserve"> project, and much less important for a construction inspection or task order contract. Please remember that Federal rules</w:t>
      </w:r>
      <w:r w:rsidR="00C7466B" w:rsidRPr="00395209">
        <w:rPr>
          <w:b w:val="0"/>
          <w:sz w:val="24"/>
          <w:szCs w:val="24"/>
        </w:rPr>
        <w:t xml:space="preserve"> </w:t>
      </w:r>
      <w:r w:rsidRPr="00395209">
        <w:rPr>
          <w:b w:val="0"/>
          <w:sz w:val="24"/>
          <w:szCs w:val="24"/>
        </w:rPr>
        <w:t>prohibit consideration of overhead rates, wage rates or any other cost data submitted voluntarily by the</w:t>
      </w:r>
      <w:r w:rsidR="00C7466B" w:rsidRPr="00395209">
        <w:rPr>
          <w:b w:val="0"/>
          <w:sz w:val="24"/>
          <w:szCs w:val="24"/>
        </w:rPr>
        <w:t xml:space="preserve"> </w:t>
      </w:r>
      <w:r w:rsidR="00395209">
        <w:rPr>
          <w:b w:val="0"/>
          <w:sz w:val="24"/>
          <w:szCs w:val="24"/>
        </w:rPr>
        <w:t>consultant.</w:t>
      </w:r>
    </w:p>
    <w:p w:rsidR="00395209" w:rsidRPr="00E00407" w:rsidRDefault="00395209" w:rsidP="00395209">
      <w:pPr>
        <w:autoSpaceDE w:val="0"/>
        <w:autoSpaceDN w:val="0"/>
        <w:adjustRightInd w:val="0"/>
        <w:spacing w:before="120" w:after="0" w:line="242" w:lineRule="atLeast"/>
        <w:textAlignment w:val="center"/>
        <w:rPr>
          <w:sz w:val="24"/>
          <w:szCs w:val="24"/>
        </w:rPr>
      </w:pPr>
      <w:r w:rsidRPr="006414D9">
        <w:rPr>
          <w:sz w:val="24"/>
          <w:szCs w:val="24"/>
        </w:rPr>
        <w:t>The City of Canton reserves the right to reject any and all proposals and to accept the proposal deemed most beneficial to the City of Canton.</w:t>
      </w:r>
    </w:p>
    <w:p w:rsidR="00395209" w:rsidRPr="00D072C1" w:rsidRDefault="00395209" w:rsidP="00D072C1">
      <w:pPr>
        <w:pStyle w:val="Default"/>
        <w:spacing w:before="240"/>
        <w:rPr>
          <w:b/>
        </w:rPr>
      </w:pPr>
      <w:r w:rsidRPr="00D072C1">
        <w:rPr>
          <w:b/>
        </w:rPr>
        <w:t xml:space="preserve">By order of John M. Highman, Jr., Director of Public Services </w:t>
      </w:r>
    </w:p>
    <w:p w:rsidR="00395209" w:rsidRPr="00395209" w:rsidRDefault="00395209" w:rsidP="00D072C1">
      <w:pPr>
        <w:pStyle w:val="01Heading"/>
        <w:spacing w:before="240" w:line="240" w:lineRule="auto"/>
        <w:rPr>
          <w:sz w:val="24"/>
          <w:szCs w:val="24"/>
        </w:rPr>
      </w:pPr>
      <w:r w:rsidRPr="00581BC6">
        <w:rPr>
          <w:sz w:val="24"/>
          <w:szCs w:val="24"/>
        </w:rPr>
        <w:t xml:space="preserve">Published in The </w:t>
      </w:r>
      <w:r w:rsidR="00D072C1">
        <w:rPr>
          <w:sz w:val="24"/>
          <w:szCs w:val="24"/>
        </w:rPr>
        <w:t xml:space="preserve">Canton </w:t>
      </w:r>
      <w:r w:rsidRPr="00581BC6">
        <w:rPr>
          <w:sz w:val="24"/>
          <w:szCs w:val="24"/>
        </w:rPr>
        <w:t>Repository:</w:t>
      </w:r>
      <w:r w:rsidRPr="00581BC6">
        <w:rPr>
          <w:color w:val="FF0000"/>
          <w:sz w:val="24"/>
          <w:szCs w:val="24"/>
        </w:rPr>
        <w:t xml:space="preserve"> </w:t>
      </w:r>
      <w:r>
        <w:rPr>
          <w:color w:val="FF0000"/>
          <w:sz w:val="24"/>
          <w:szCs w:val="24"/>
        </w:rPr>
        <w:t xml:space="preserve"> </w:t>
      </w:r>
      <w:r w:rsidR="00A753FB" w:rsidRPr="00A753FB">
        <w:rPr>
          <w:color w:val="auto"/>
          <w:sz w:val="24"/>
          <w:szCs w:val="24"/>
        </w:rPr>
        <w:t>March 18 and 25, 2022</w:t>
      </w:r>
      <w:r w:rsidR="00D072C1" w:rsidRPr="00D17240">
        <w:rPr>
          <w:b w:val="0"/>
          <w:sz w:val="24"/>
          <w:szCs w:val="24"/>
        </w:rPr>
        <w:t>.</w:t>
      </w:r>
    </w:p>
    <w:sectPr w:rsidR="00395209" w:rsidRPr="00395209" w:rsidSect="00302B0B">
      <w:headerReference w:type="default" r:id="rId14"/>
      <w:pgSz w:w="12240" w:h="15840"/>
      <w:pgMar w:top="1152" w:right="720" w:bottom="432" w:left="86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7175" w:rsidRDefault="00527175" w:rsidP="00527175">
      <w:pPr>
        <w:spacing w:after="0" w:line="240" w:lineRule="auto"/>
      </w:pPr>
      <w:r>
        <w:separator/>
      </w:r>
    </w:p>
  </w:endnote>
  <w:endnote w:type="continuationSeparator" w:id="0">
    <w:p w:rsidR="00527175" w:rsidRDefault="00527175" w:rsidP="00527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7175" w:rsidRDefault="00527175" w:rsidP="00527175">
      <w:pPr>
        <w:spacing w:after="0" w:line="240" w:lineRule="auto"/>
      </w:pPr>
      <w:r>
        <w:separator/>
      </w:r>
    </w:p>
  </w:footnote>
  <w:footnote w:type="continuationSeparator" w:id="0">
    <w:p w:rsidR="00527175" w:rsidRDefault="00527175" w:rsidP="00527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EB7" w:rsidRDefault="002D2EB7" w:rsidP="00302B0B">
    <w:pPr>
      <w:pStyle w:val="Header"/>
    </w:pPr>
    <w:r w:rsidRPr="007C15F3">
      <w:rPr>
        <w:noProof/>
        <w:u w:val="single"/>
      </w:rPr>
      <w:drawing>
        <wp:inline distT="0" distB="0" distL="0" distR="0" wp14:anchorId="3F2126CE" wp14:editId="75DA7A16">
          <wp:extent cx="554355" cy="554355"/>
          <wp:effectExtent l="0" t="0" r="0"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 cy="554355"/>
                  </a:xfrm>
                  <a:prstGeom prst="rect">
                    <a:avLst/>
                  </a:prstGeom>
                  <a:noFill/>
                  <a:ln>
                    <a:noFill/>
                  </a:ln>
                </pic:spPr>
              </pic:pic>
            </a:graphicData>
          </a:graphic>
        </wp:inline>
      </w:drawing>
    </w:r>
    <w:r w:rsidRPr="00755363">
      <w:rPr>
        <w:u w:val="single"/>
      </w:rPr>
      <w:t xml:space="preserve"> </w:t>
    </w:r>
    <w:r w:rsidRPr="00755363">
      <w:rPr>
        <w:rFonts w:ascii="Arial" w:hAnsi="Arial" w:cs="Arial"/>
        <w:u w:val="single"/>
      </w:rPr>
      <w:t xml:space="preserve">The City of </w:t>
    </w:r>
    <w:proofErr w:type="gramStart"/>
    <w:r w:rsidRPr="00755363">
      <w:rPr>
        <w:rFonts w:ascii="Arial" w:hAnsi="Arial" w:cs="Arial"/>
        <w:u w:val="single"/>
      </w:rPr>
      <w:t>Canton</w:t>
    </w:r>
    <w:r w:rsidRPr="00755363">
      <w:rPr>
        <w:u w:val="single"/>
      </w:rPr>
      <w:t xml:space="preserve">  </w:t>
    </w:r>
    <w:r w:rsidRPr="00755363">
      <w:rPr>
        <w:u w:val="single"/>
      </w:rPr>
      <w:tab/>
    </w:r>
    <w:proofErr w:type="gramEnd"/>
    <w:r>
      <w:rPr>
        <w:u w:val="single"/>
      </w:rPr>
      <w:tab/>
    </w:r>
    <w:r w:rsidR="00302B0B" w:rsidRPr="00302B0B">
      <w:rPr>
        <w:u w:val="single"/>
      </w:rPr>
      <w:t xml:space="preserve">Page </w:t>
    </w:r>
    <w:r w:rsidR="00302B0B" w:rsidRPr="00302B0B">
      <w:rPr>
        <w:b/>
        <w:bCs/>
        <w:u w:val="single"/>
      </w:rPr>
      <w:fldChar w:fldCharType="begin"/>
    </w:r>
    <w:r w:rsidR="00302B0B" w:rsidRPr="00302B0B">
      <w:rPr>
        <w:b/>
        <w:bCs/>
        <w:u w:val="single"/>
      </w:rPr>
      <w:instrText xml:space="preserve"> PAGE  \* Arabic  \* MERGEFORMAT </w:instrText>
    </w:r>
    <w:r w:rsidR="00302B0B" w:rsidRPr="00302B0B">
      <w:rPr>
        <w:b/>
        <w:bCs/>
        <w:u w:val="single"/>
      </w:rPr>
      <w:fldChar w:fldCharType="separate"/>
    </w:r>
    <w:r w:rsidR="00302B0B" w:rsidRPr="00302B0B">
      <w:rPr>
        <w:b/>
        <w:bCs/>
        <w:noProof/>
        <w:u w:val="single"/>
      </w:rPr>
      <w:t>1</w:t>
    </w:r>
    <w:r w:rsidR="00302B0B" w:rsidRPr="00302B0B">
      <w:rPr>
        <w:b/>
        <w:bCs/>
        <w:u w:val="single"/>
      </w:rPr>
      <w:fldChar w:fldCharType="end"/>
    </w:r>
    <w:r w:rsidR="00302B0B" w:rsidRPr="00302B0B">
      <w:rPr>
        <w:u w:val="single"/>
      </w:rPr>
      <w:t xml:space="preserve"> of </w:t>
    </w:r>
    <w:r w:rsidR="00302B0B" w:rsidRPr="00302B0B">
      <w:rPr>
        <w:b/>
        <w:bCs/>
        <w:u w:val="single"/>
      </w:rPr>
      <w:fldChar w:fldCharType="begin"/>
    </w:r>
    <w:r w:rsidR="00302B0B" w:rsidRPr="00302B0B">
      <w:rPr>
        <w:b/>
        <w:bCs/>
        <w:u w:val="single"/>
      </w:rPr>
      <w:instrText xml:space="preserve"> NUMPAGES  \* Arabic  \* MERGEFORMAT </w:instrText>
    </w:r>
    <w:r w:rsidR="00302B0B" w:rsidRPr="00302B0B">
      <w:rPr>
        <w:b/>
        <w:bCs/>
        <w:u w:val="single"/>
      </w:rPr>
      <w:fldChar w:fldCharType="separate"/>
    </w:r>
    <w:r w:rsidR="00302B0B" w:rsidRPr="00302B0B">
      <w:rPr>
        <w:b/>
        <w:bCs/>
        <w:noProof/>
        <w:u w:val="single"/>
      </w:rPr>
      <w:t>2</w:t>
    </w:r>
    <w:r w:rsidR="00302B0B" w:rsidRPr="00302B0B">
      <w:rPr>
        <w:b/>
        <w:bCs/>
        <w:u w:val="single"/>
      </w:rPr>
      <w:fldChar w:fldCharType="end"/>
    </w:r>
    <w:r w:rsidR="00302B0B">
      <w:rPr>
        <w:u w:val="single"/>
      </w:rPr>
      <w:t>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4422"/>
    <w:multiLevelType w:val="hybridMultilevel"/>
    <w:tmpl w:val="195A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A3C19"/>
    <w:multiLevelType w:val="multilevel"/>
    <w:tmpl w:val="1358740A"/>
    <w:lvl w:ilvl="0">
      <w:start w:val="3"/>
      <w:numFmt w:val="decimal"/>
      <w:lvlText w:val="%1"/>
      <w:lvlJc w:val="left"/>
      <w:pPr>
        <w:ind w:left="375" w:hanging="375"/>
      </w:pPr>
      <w:rPr>
        <w:rFonts w:hint="default"/>
        <w:b/>
      </w:rPr>
    </w:lvl>
    <w:lvl w:ilvl="1">
      <w:start w:val="4"/>
      <w:numFmt w:val="decimal"/>
      <w:lvlText w:val="%1.%2"/>
      <w:lvlJc w:val="left"/>
      <w:pPr>
        <w:ind w:left="465" w:hanging="375"/>
      </w:pPr>
      <w:rPr>
        <w:rFonts w:hint="default"/>
        <w:b/>
      </w:rPr>
    </w:lvl>
    <w:lvl w:ilvl="2">
      <w:start w:val="1"/>
      <w:numFmt w:val="decimal"/>
      <w:lvlText w:val="%1.%2.%3"/>
      <w:lvlJc w:val="left"/>
      <w:pPr>
        <w:ind w:left="900" w:hanging="720"/>
      </w:pPr>
      <w:rPr>
        <w:rFonts w:hint="default"/>
        <w:b/>
      </w:rPr>
    </w:lvl>
    <w:lvl w:ilvl="3">
      <w:start w:val="1"/>
      <w:numFmt w:val="decimal"/>
      <w:lvlText w:val="%1.%2.%3.%4"/>
      <w:lvlJc w:val="left"/>
      <w:pPr>
        <w:ind w:left="1350" w:hanging="1080"/>
      </w:pPr>
      <w:rPr>
        <w:rFonts w:hint="default"/>
        <w:b/>
      </w:rPr>
    </w:lvl>
    <w:lvl w:ilvl="4">
      <w:start w:val="1"/>
      <w:numFmt w:val="decimal"/>
      <w:lvlText w:val="%1.%2.%3.%4.%5"/>
      <w:lvlJc w:val="left"/>
      <w:pPr>
        <w:ind w:left="1440" w:hanging="1080"/>
      </w:pPr>
      <w:rPr>
        <w:rFonts w:hint="default"/>
        <w:b/>
      </w:rPr>
    </w:lvl>
    <w:lvl w:ilvl="5">
      <w:start w:val="1"/>
      <w:numFmt w:val="decimal"/>
      <w:lvlText w:val="%1.%2.%3.%4.%5.%6"/>
      <w:lvlJc w:val="left"/>
      <w:pPr>
        <w:ind w:left="1890" w:hanging="1440"/>
      </w:pPr>
      <w:rPr>
        <w:rFonts w:hint="default"/>
        <w:b/>
      </w:rPr>
    </w:lvl>
    <w:lvl w:ilvl="6">
      <w:start w:val="1"/>
      <w:numFmt w:val="decimal"/>
      <w:lvlText w:val="%1.%2.%3.%4.%5.%6.%7"/>
      <w:lvlJc w:val="left"/>
      <w:pPr>
        <w:ind w:left="1980" w:hanging="1440"/>
      </w:pPr>
      <w:rPr>
        <w:rFonts w:hint="default"/>
        <w:b/>
      </w:rPr>
    </w:lvl>
    <w:lvl w:ilvl="7">
      <w:start w:val="1"/>
      <w:numFmt w:val="decimal"/>
      <w:lvlText w:val="%1.%2.%3.%4.%5.%6.%7.%8"/>
      <w:lvlJc w:val="left"/>
      <w:pPr>
        <w:ind w:left="2430" w:hanging="1800"/>
      </w:pPr>
      <w:rPr>
        <w:rFonts w:hint="default"/>
        <w:b/>
      </w:rPr>
    </w:lvl>
    <w:lvl w:ilvl="8">
      <w:start w:val="1"/>
      <w:numFmt w:val="decimal"/>
      <w:lvlText w:val="%1.%2.%3.%4.%5.%6.%7.%8.%9"/>
      <w:lvlJc w:val="left"/>
      <w:pPr>
        <w:ind w:left="2880" w:hanging="2160"/>
      </w:pPr>
      <w:rPr>
        <w:rFonts w:hint="default"/>
        <w:b/>
      </w:rPr>
    </w:lvl>
  </w:abstractNum>
  <w:abstractNum w:abstractNumId="2" w15:restartNumberingAfterBreak="0">
    <w:nsid w:val="060355E1"/>
    <w:multiLevelType w:val="hybridMultilevel"/>
    <w:tmpl w:val="3FD8B20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86652F5"/>
    <w:multiLevelType w:val="hybridMultilevel"/>
    <w:tmpl w:val="EF008BD8"/>
    <w:lvl w:ilvl="0" w:tplc="C69021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E1779"/>
    <w:multiLevelType w:val="hybridMultilevel"/>
    <w:tmpl w:val="66F89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6D2102"/>
    <w:multiLevelType w:val="hybridMultilevel"/>
    <w:tmpl w:val="D69CB0D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AD8741E"/>
    <w:multiLevelType w:val="hybridMultilevel"/>
    <w:tmpl w:val="F78A2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8834BD"/>
    <w:multiLevelType w:val="hybridMultilevel"/>
    <w:tmpl w:val="CBE6D93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2AAF482C"/>
    <w:multiLevelType w:val="hybridMultilevel"/>
    <w:tmpl w:val="198C740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38CB7A20"/>
    <w:multiLevelType w:val="hybridMultilevel"/>
    <w:tmpl w:val="6EE85CA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39146CE8"/>
    <w:multiLevelType w:val="hybridMultilevel"/>
    <w:tmpl w:val="E4565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C62308"/>
    <w:multiLevelType w:val="hybridMultilevel"/>
    <w:tmpl w:val="69A8D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742C05"/>
    <w:multiLevelType w:val="hybridMultilevel"/>
    <w:tmpl w:val="3758B3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17C760F"/>
    <w:multiLevelType w:val="hybridMultilevel"/>
    <w:tmpl w:val="E3DE510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460C0638"/>
    <w:multiLevelType w:val="hybridMultilevel"/>
    <w:tmpl w:val="B49068A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4BA36EAE"/>
    <w:multiLevelType w:val="hybridMultilevel"/>
    <w:tmpl w:val="A664C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430878"/>
    <w:multiLevelType w:val="hybridMultilevel"/>
    <w:tmpl w:val="22D6F81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55C94E45"/>
    <w:multiLevelType w:val="hybridMultilevel"/>
    <w:tmpl w:val="E704444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5B447830"/>
    <w:multiLevelType w:val="multilevel"/>
    <w:tmpl w:val="0DF4A71C"/>
    <w:lvl w:ilvl="0">
      <w:start w:val="1"/>
      <w:numFmt w:val="decimal"/>
      <w:lvlText w:val="%1"/>
      <w:lvlJc w:val="left"/>
      <w:pPr>
        <w:ind w:left="720" w:hanging="720"/>
      </w:pPr>
      <w:rPr>
        <w:rFonts w:hint="default"/>
        <w:b/>
      </w:rPr>
    </w:lvl>
    <w:lvl w:ilvl="1">
      <w:start w:val="1"/>
      <w:numFmt w:val="decimal"/>
      <w:lvlText w:val="%1.%2"/>
      <w:lvlJc w:val="left"/>
      <w:pPr>
        <w:ind w:left="810" w:hanging="720"/>
      </w:pPr>
      <w:rPr>
        <w:rFonts w:hint="default"/>
        <w:b/>
        <w:sz w:val="28"/>
        <w:szCs w:val="28"/>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5D0A130A"/>
    <w:multiLevelType w:val="hybridMultilevel"/>
    <w:tmpl w:val="0E10F5B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5F0D4118"/>
    <w:multiLevelType w:val="hybridMultilevel"/>
    <w:tmpl w:val="2DBE5E1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61D57D4B"/>
    <w:multiLevelType w:val="multilevel"/>
    <w:tmpl w:val="13B4244C"/>
    <w:lvl w:ilvl="0">
      <w:start w:val="3"/>
      <w:numFmt w:val="decimal"/>
      <w:lvlText w:val="%1"/>
      <w:lvlJc w:val="left"/>
      <w:pPr>
        <w:ind w:left="375" w:hanging="375"/>
      </w:pPr>
      <w:rPr>
        <w:rFonts w:hint="default"/>
        <w:b/>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15:restartNumberingAfterBreak="0">
    <w:nsid w:val="620345F3"/>
    <w:multiLevelType w:val="multilevel"/>
    <w:tmpl w:val="75D86D7E"/>
    <w:lvl w:ilvl="0">
      <w:start w:val="3"/>
      <w:numFmt w:val="decimal"/>
      <w:lvlText w:val="%1"/>
      <w:lvlJc w:val="left"/>
      <w:pPr>
        <w:ind w:left="375" w:hanging="375"/>
      </w:pPr>
      <w:rPr>
        <w:rFonts w:hint="default"/>
        <w:b/>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3" w15:restartNumberingAfterBreak="0">
    <w:nsid w:val="664D5B00"/>
    <w:multiLevelType w:val="hybridMultilevel"/>
    <w:tmpl w:val="3DF42E2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6EB319F8"/>
    <w:multiLevelType w:val="hybridMultilevel"/>
    <w:tmpl w:val="0D444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63402F"/>
    <w:multiLevelType w:val="hybridMultilevel"/>
    <w:tmpl w:val="A8044C2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7B9D08BD"/>
    <w:multiLevelType w:val="hybridMultilevel"/>
    <w:tmpl w:val="8E6C381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7F4A2070"/>
    <w:multiLevelType w:val="multilevel"/>
    <w:tmpl w:val="0DF4A71C"/>
    <w:lvl w:ilvl="0">
      <w:start w:val="1"/>
      <w:numFmt w:val="decimal"/>
      <w:lvlText w:val="%1"/>
      <w:lvlJc w:val="left"/>
      <w:pPr>
        <w:ind w:left="720" w:hanging="720"/>
      </w:pPr>
      <w:rPr>
        <w:rFonts w:hint="default"/>
        <w:b/>
      </w:rPr>
    </w:lvl>
    <w:lvl w:ilvl="1">
      <w:start w:val="1"/>
      <w:numFmt w:val="decimal"/>
      <w:lvlText w:val="%1.%2"/>
      <w:lvlJc w:val="left"/>
      <w:pPr>
        <w:ind w:left="810" w:hanging="720"/>
      </w:pPr>
      <w:rPr>
        <w:rFonts w:hint="default"/>
        <w:b/>
        <w:sz w:val="28"/>
        <w:szCs w:val="28"/>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7F687C8E"/>
    <w:multiLevelType w:val="multilevel"/>
    <w:tmpl w:val="0DF4A71C"/>
    <w:lvl w:ilvl="0">
      <w:start w:val="1"/>
      <w:numFmt w:val="decimal"/>
      <w:lvlText w:val="%1"/>
      <w:lvlJc w:val="left"/>
      <w:pPr>
        <w:ind w:left="720" w:hanging="720"/>
      </w:pPr>
      <w:rPr>
        <w:rFonts w:hint="default"/>
        <w:b/>
      </w:rPr>
    </w:lvl>
    <w:lvl w:ilvl="1">
      <w:start w:val="1"/>
      <w:numFmt w:val="decimal"/>
      <w:lvlText w:val="%1.%2"/>
      <w:lvlJc w:val="left"/>
      <w:pPr>
        <w:ind w:left="810" w:hanging="720"/>
      </w:pPr>
      <w:rPr>
        <w:rFonts w:hint="default"/>
        <w:b/>
        <w:sz w:val="28"/>
        <w:szCs w:val="28"/>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6"/>
  </w:num>
  <w:num w:numId="2">
    <w:abstractNumId w:val="19"/>
  </w:num>
  <w:num w:numId="3">
    <w:abstractNumId w:val="8"/>
  </w:num>
  <w:num w:numId="4">
    <w:abstractNumId w:val="5"/>
  </w:num>
  <w:num w:numId="5">
    <w:abstractNumId w:val="12"/>
  </w:num>
  <w:num w:numId="6">
    <w:abstractNumId w:val="14"/>
  </w:num>
  <w:num w:numId="7">
    <w:abstractNumId w:val="2"/>
  </w:num>
  <w:num w:numId="8">
    <w:abstractNumId w:val="27"/>
  </w:num>
  <w:num w:numId="9">
    <w:abstractNumId w:val="20"/>
  </w:num>
  <w:num w:numId="10">
    <w:abstractNumId w:val="9"/>
  </w:num>
  <w:num w:numId="11">
    <w:abstractNumId w:val="17"/>
  </w:num>
  <w:num w:numId="12">
    <w:abstractNumId w:val="23"/>
  </w:num>
  <w:num w:numId="13">
    <w:abstractNumId w:val="16"/>
  </w:num>
  <w:num w:numId="14">
    <w:abstractNumId w:val="6"/>
  </w:num>
  <w:num w:numId="15">
    <w:abstractNumId w:val="13"/>
  </w:num>
  <w:num w:numId="16">
    <w:abstractNumId w:val="4"/>
  </w:num>
  <w:num w:numId="17">
    <w:abstractNumId w:val="3"/>
  </w:num>
  <w:num w:numId="18">
    <w:abstractNumId w:val="25"/>
  </w:num>
  <w:num w:numId="19">
    <w:abstractNumId w:val="0"/>
  </w:num>
  <w:num w:numId="20">
    <w:abstractNumId w:val="10"/>
  </w:num>
  <w:num w:numId="21">
    <w:abstractNumId w:val="1"/>
  </w:num>
  <w:num w:numId="22">
    <w:abstractNumId w:val="21"/>
  </w:num>
  <w:num w:numId="23">
    <w:abstractNumId w:val="22"/>
  </w:num>
  <w:num w:numId="24">
    <w:abstractNumId w:val="18"/>
  </w:num>
  <w:num w:numId="25">
    <w:abstractNumId w:val="28"/>
  </w:num>
  <w:num w:numId="26">
    <w:abstractNumId w:val="7"/>
  </w:num>
  <w:num w:numId="27">
    <w:abstractNumId w:val="24"/>
  </w:num>
  <w:num w:numId="28">
    <w:abstractNumId w:val="1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6DA"/>
    <w:rsid w:val="00030F87"/>
    <w:rsid w:val="00036EA9"/>
    <w:rsid w:val="001257AD"/>
    <w:rsid w:val="00127934"/>
    <w:rsid w:val="00171B78"/>
    <w:rsid w:val="001E6F01"/>
    <w:rsid w:val="0021377D"/>
    <w:rsid w:val="00245FD7"/>
    <w:rsid w:val="002D2EB7"/>
    <w:rsid w:val="00302B0B"/>
    <w:rsid w:val="003153A8"/>
    <w:rsid w:val="0033452A"/>
    <w:rsid w:val="00337277"/>
    <w:rsid w:val="003375BB"/>
    <w:rsid w:val="0037596D"/>
    <w:rsid w:val="00395209"/>
    <w:rsid w:val="003C200C"/>
    <w:rsid w:val="003F0F62"/>
    <w:rsid w:val="004412AA"/>
    <w:rsid w:val="00527175"/>
    <w:rsid w:val="00581BC6"/>
    <w:rsid w:val="005E4BC4"/>
    <w:rsid w:val="005E5A9D"/>
    <w:rsid w:val="00602642"/>
    <w:rsid w:val="00751FE3"/>
    <w:rsid w:val="007535F9"/>
    <w:rsid w:val="007E22DE"/>
    <w:rsid w:val="007F7FA4"/>
    <w:rsid w:val="008111E8"/>
    <w:rsid w:val="00857614"/>
    <w:rsid w:val="00887BF8"/>
    <w:rsid w:val="008A71D2"/>
    <w:rsid w:val="00941491"/>
    <w:rsid w:val="00965847"/>
    <w:rsid w:val="009C291F"/>
    <w:rsid w:val="00A753FB"/>
    <w:rsid w:val="00AC659E"/>
    <w:rsid w:val="00B336DA"/>
    <w:rsid w:val="00BD5E0C"/>
    <w:rsid w:val="00BF4085"/>
    <w:rsid w:val="00C1170B"/>
    <w:rsid w:val="00C41825"/>
    <w:rsid w:val="00C41B56"/>
    <w:rsid w:val="00C7466B"/>
    <w:rsid w:val="00C96220"/>
    <w:rsid w:val="00CE242D"/>
    <w:rsid w:val="00D072C1"/>
    <w:rsid w:val="00D123F4"/>
    <w:rsid w:val="00D17240"/>
    <w:rsid w:val="00DD372F"/>
    <w:rsid w:val="00E00407"/>
    <w:rsid w:val="00E36D16"/>
    <w:rsid w:val="00E74BEB"/>
    <w:rsid w:val="00E91E26"/>
    <w:rsid w:val="00F21794"/>
    <w:rsid w:val="00F30C57"/>
    <w:rsid w:val="00F50EA7"/>
    <w:rsid w:val="00F50F19"/>
    <w:rsid w:val="00F94E77"/>
    <w:rsid w:val="00FC675C"/>
    <w:rsid w:val="00FD5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56D340"/>
  <w15:chartTrackingRefBased/>
  <w15:docId w15:val="{54D2BB7A-1F41-48BA-8BCD-5E510F503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Heading">
    <w:name w:val="01 Heading"/>
    <w:basedOn w:val="Normal"/>
    <w:uiPriority w:val="99"/>
    <w:rsid w:val="00B336DA"/>
    <w:pPr>
      <w:suppressAutoHyphens/>
      <w:autoSpaceDE w:val="0"/>
      <w:autoSpaceDN w:val="0"/>
      <w:adjustRightInd w:val="0"/>
      <w:spacing w:before="216" w:after="0" w:line="288" w:lineRule="auto"/>
      <w:ind w:left="740" w:hanging="740"/>
      <w:textAlignment w:val="center"/>
    </w:pPr>
    <w:rPr>
      <w:rFonts w:ascii="Calibri" w:hAnsi="Calibri" w:cs="Calibri"/>
      <w:b/>
      <w:bCs/>
      <w:color w:val="000000"/>
      <w:sz w:val="28"/>
      <w:szCs w:val="28"/>
    </w:rPr>
  </w:style>
  <w:style w:type="paragraph" w:customStyle="1" w:styleId="03Heading">
    <w:name w:val="03 Heading"/>
    <w:basedOn w:val="Normal"/>
    <w:uiPriority w:val="99"/>
    <w:rsid w:val="00B336DA"/>
    <w:pPr>
      <w:autoSpaceDE w:val="0"/>
      <w:autoSpaceDN w:val="0"/>
      <w:adjustRightInd w:val="0"/>
      <w:spacing w:before="144" w:after="0" w:line="288" w:lineRule="auto"/>
      <w:textAlignment w:val="center"/>
    </w:pPr>
    <w:rPr>
      <w:rFonts w:ascii="Calibri" w:hAnsi="Calibri" w:cs="Calibri"/>
      <w:b/>
      <w:bCs/>
      <w:color w:val="000000"/>
    </w:rPr>
  </w:style>
  <w:style w:type="paragraph" w:customStyle="1" w:styleId="02Heading">
    <w:name w:val="02 Heading"/>
    <w:basedOn w:val="Normal"/>
    <w:uiPriority w:val="99"/>
    <w:rsid w:val="00B336DA"/>
    <w:pPr>
      <w:tabs>
        <w:tab w:val="left" w:pos="620"/>
      </w:tabs>
      <w:suppressAutoHyphens/>
      <w:autoSpaceDE w:val="0"/>
      <w:autoSpaceDN w:val="0"/>
      <w:adjustRightInd w:val="0"/>
      <w:spacing w:before="144" w:after="0" w:line="280" w:lineRule="atLeast"/>
      <w:ind w:left="600" w:hanging="600"/>
      <w:textAlignment w:val="center"/>
    </w:pPr>
    <w:rPr>
      <w:rFonts w:ascii="Calibri" w:hAnsi="Calibri" w:cs="Calibri"/>
      <w:b/>
      <w:bCs/>
      <w:color w:val="000000"/>
      <w:sz w:val="28"/>
      <w:szCs w:val="28"/>
    </w:rPr>
  </w:style>
  <w:style w:type="paragraph" w:styleId="BodyText">
    <w:name w:val="Body Text"/>
    <w:basedOn w:val="Normal"/>
    <w:link w:val="BodyTextChar"/>
    <w:uiPriority w:val="99"/>
    <w:rsid w:val="00B336DA"/>
    <w:pPr>
      <w:autoSpaceDE w:val="0"/>
      <w:autoSpaceDN w:val="0"/>
      <w:adjustRightInd w:val="0"/>
      <w:spacing w:before="144" w:after="0" w:line="242" w:lineRule="atLeast"/>
      <w:textAlignment w:val="center"/>
    </w:pPr>
    <w:rPr>
      <w:rFonts w:ascii="Calibri" w:hAnsi="Calibri" w:cs="Calibri"/>
      <w:color w:val="000000"/>
      <w:sz w:val="18"/>
      <w:szCs w:val="18"/>
    </w:rPr>
  </w:style>
  <w:style w:type="character" w:customStyle="1" w:styleId="BodyTextChar">
    <w:name w:val="Body Text Char"/>
    <w:basedOn w:val="DefaultParagraphFont"/>
    <w:link w:val="BodyText"/>
    <w:uiPriority w:val="99"/>
    <w:rsid w:val="00B336DA"/>
    <w:rPr>
      <w:rFonts w:ascii="Calibri" w:hAnsi="Calibri" w:cs="Calibri"/>
      <w:color w:val="000000"/>
      <w:sz w:val="18"/>
      <w:szCs w:val="18"/>
    </w:rPr>
  </w:style>
  <w:style w:type="paragraph" w:customStyle="1" w:styleId="04Heading">
    <w:name w:val="04 Heading"/>
    <w:basedOn w:val="Normal"/>
    <w:uiPriority w:val="99"/>
    <w:rsid w:val="00B336DA"/>
    <w:pPr>
      <w:autoSpaceDE w:val="0"/>
      <w:autoSpaceDN w:val="0"/>
      <w:adjustRightInd w:val="0"/>
      <w:spacing w:before="144" w:after="0" w:line="288" w:lineRule="auto"/>
      <w:textAlignment w:val="center"/>
    </w:pPr>
    <w:rPr>
      <w:rFonts w:ascii="Calibri" w:hAnsi="Calibri" w:cs="Calibri"/>
      <w:b/>
      <w:bCs/>
      <w:color w:val="000000"/>
      <w:sz w:val="18"/>
      <w:szCs w:val="18"/>
    </w:rPr>
  </w:style>
  <w:style w:type="paragraph" w:customStyle="1" w:styleId="Bulletslevel1">
    <w:name w:val="Bullets level 1"/>
    <w:basedOn w:val="BodyText"/>
    <w:uiPriority w:val="99"/>
    <w:rsid w:val="00B336DA"/>
    <w:pPr>
      <w:spacing w:before="0"/>
      <w:ind w:left="360" w:hanging="180"/>
    </w:pPr>
  </w:style>
  <w:style w:type="paragraph" w:styleId="ListParagraph">
    <w:name w:val="List Paragraph"/>
    <w:basedOn w:val="Normal"/>
    <w:uiPriority w:val="34"/>
    <w:qFormat/>
    <w:rsid w:val="00B336DA"/>
    <w:pPr>
      <w:ind w:left="720"/>
      <w:contextualSpacing/>
    </w:pPr>
  </w:style>
  <w:style w:type="paragraph" w:customStyle="1" w:styleId="Bulletslevel2">
    <w:name w:val="Bullets level 2"/>
    <w:basedOn w:val="Bulletslevel1"/>
    <w:uiPriority w:val="99"/>
    <w:rsid w:val="00B336DA"/>
    <w:pPr>
      <w:tabs>
        <w:tab w:val="left" w:pos="720"/>
      </w:tabs>
      <w:ind w:left="900"/>
    </w:pPr>
  </w:style>
  <w:style w:type="paragraph" w:customStyle="1" w:styleId="NoParagraphStyle">
    <w:name w:val="[No Paragraph Style]"/>
    <w:rsid w:val="005E5A9D"/>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BasicParagraph">
    <w:name w:val="[Basic Paragraph]"/>
    <w:basedOn w:val="NoParagraphStyle"/>
    <w:uiPriority w:val="99"/>
    <w:rsid w:val="005E5A9D"/>
  </w:style>
  <w:style w:type="character" w:styleId="Hyperlink">
    <w:name w:val="Hyperlink"/>
    <w:rsid w:val="00F50F19"/>
    <w:rPr>
      <w:color w:val="0000FF"/>
      <w:u w:val="single"/>
    </w:rPr>
  </w:style>
  <w:style w:type="paragraph" w:customStyle="1" w:styleId="Default">
    <w:name w:val="Default"/>
    <w:rsid w:val="00941491"/>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8A71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1D2"/>
    <w:rPr>
      <w:rFonts w:ascii="Segoe UI" w:hAnsi="Segoe UI" w:cs="Segoe UI"/>
      <w:sz w:val="18"/>
      <w:szCs w:val="18"/>
    </w:rPr>
  </w:style>
  <w:style w:type="paragraph" w:customStyle="1" w:styleId="Pa2">
    <w:name w:val="Pa2"/>
    <w:basedOn w:val="Default"/>
    <w:next w:val="Default"/>
    <w:uiPriority w:val="99"/>
    <w:rsid w:val="00965847"/>
    <w:pPr>
      <w:spacing w:line="281" w:lineRule="atLeast"/>
    </w:pPr>
    <w:rPr>
      <w:color w:val="auto"/>
    </w:rPr>
  </w:style>
  <w:style w:type="paragraph" w:styleId="Header">
    <w:name w:val="header"/>
    <w:basedOn w:val="Normal"/>
    <w:link w:val="HeaderChar"/>
    <w:unhideWhenUsed/>
    <w:rsid w:val="00527175"/>
    <w:pPr>
      <w:tabs>
        <w:tab w:val="center" w:pos="4680"/>
        <w:tab w:val="right" w:pos="9360"/>
      </w:tabs>
      <w:spacing w:after="0" w:line="240" w:lineRule="auto"/>
    </w:pPr>
  </w:style>
  <w:style w:type="character" w:customStyle="1" w:styleId="HeaderChar">
    <w:name w:val="Header Char"/>
    <w:basedOn w:val="DefaultParagraphFont"/>
    <w:link w:val="Header"/>
    <w:rsid w:val="00527175"/>
  </w:style>
  <w:style w:type="paragraph" w:styleId="Footer">
    <w:name w:val="footer"/>
    <w:basedOn w:val="Normal"/>
    <w:link w:val="FooterChar"/>
    <w:uiPriority w:val="99"/>
    <w:unhideWhenUsed/>
    <w:rsid w:val="00527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51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tonohio.gov/719/Civic-Center" TargetMode="External"/><Relationship Id="rId13" Type="http://schemas.openxmlformats.org/officeDocument/2006/relationships/hyperlink" Target="mailto:andrew.roth@cantonohio.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n.wikipedia.org/wiki/Pro_Football_Hall_of_Fam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ndex.php?title=ASM_Global_(property_management)&amp;action=edit&amp;redlink=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n.wikipedia.org/wiki/Canton,_Ohio" TargetMode="External"/><Relationship Id="rId4" Type="http://schemas.openxmlformats.org/officeDocument/2006/relationships/webSettings" Target="webSettings.xml"/><Relationship Id="rId9" Type="http://schemas.openxmlformats.org/officeDocument/2006/relationships/hyperlink" Target="https://en.wikipedia.org/wiki/Aren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3174</Words>
  <Characters>18094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donn.angus@cantonohio.gov</dc:creator>
  <cp:keywords/>
  <dc:description/>
  <cp:lastModifiedBy>Andrew W. Roth</cp:lastModifiedBy>
  <cp:revision>3</cp:revision>
  <cp:lastPrinted>2022-02-25T19:45:00Z</cp:lastPrinted>
  <dcterms:created xsi:type="dcterms:W3CDTF">2022-03-15T16:00:00Z</dcterms:created>
  <dcterms:modified xsi:type="dcterms:W3CDTF">2022-03-15T16:26:00Z</dcterms:modified>
</cp:coreProperties>
</file>