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26738C">
        <w:rPr>
          <w:b/>
          <w:sz w:val="48"/>
          <w:szCs w:val="48"/>
        </w:rPr>
        <w:t>66</w:t>
      </w:r>
    </w:p>
    <w:p w:rsidR="00BD1D7A" w:rsidRPr="003477E5" w:rsidRDefault="00BD1D7A" w:rsidP="004F22F3">
      <w:pPr>
        <w:jc w:val="center"/>
        <w:rPr>
          <w:b/>
          <w:color w:val="FF0000"/>
          <w:sz w:val="48"/>
          <w:szCs w:val="48"/>
        </w:rPr>
      </w:pPr>
    </w:p>
    <w:p w:rsidR="004F22F3" w:rsidRPr="004F22F3" w:rsidRDefault="0026738C" w:rsidP="004F22F3">
      <w:pPr>
        <w:jc w:val="center"/>
        <w:rPr>
          <w:b/>
          <w:sz w:val="48"/>
          <w:szCs w:val="48"/>
        </w:rPr>
      </w:pPr>
      <w:r>
        <w:rPr>
          <w:b/>
          <w:sz w:val="48"/>
          <w:szCs w:val="48"/>
        </w:rPr>
        <w:t>Police Supplies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26738C">
        <w:rPr>
          <w:b/>
          <w:sz w:val="48"/>
          <w:szCs w:val="48"/>
        </w:rPr>
        <w:t>May 17</w:t>
      </w:r>
      <w:r w:rsidRPr="004F22F3">
        <w:rPr>
          <w:b/>
          <w:sz w:val="48"/>
          <w:szCs w:val="48"/>
        </w:rPr>
        <w:t>,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Issued By:</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D4207A"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26738C">
              <w:t>66 Police Supplies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26738C">
            <w:pPr>
              <w:rPr>
                <w:b/>
              </w:rPr>
            </w:pPr>
            <w:r>
              <w:rPr>
                <w:b/>
              </w:rPr>
              <w:t>June 1</w:t>
            </w:r>
            <w:r w:rsidR="00783512">
              <w:rPr>
                <w:b/>
              </w:rPr>
              <w:t xml:space="preserve">, 2017 at </w:t>
            </w:r>
            <w:r>
              <w:rPr>
                <w:b/>
              </w:rPr>
              <w:t>2:00PM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Pr="009A101C" w:rsidRDefault="004F22F3" w:rsidP="004F22F3">
      <w:pPr>
        <w:jc w:val="both"/>
      </w:pPr>
      <w:r w:rsidRPr="009A101C">
        <w:tab/>
      </w:r>
      <w:r w:rsidRPr="009A101C">
        <w:tab/>
        <w:t>7.07</w:t>
      </w:r>
      <w:r w:rsidRPr="009A101C">
        <w:tab/>
      </w:r>
      <w:r w:rsidRPr="009A101C">
        <w:tab/>
        <w:t>Quality of Items</w:t>
      </w: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tab/>
      </w:r>
      <w:r w:rsidRPr="009A101C">
        <w:tab/>
        <w:t>8.04</w:t>
      </w:r>
      <w:r w:rsidRPr="009A101C">
        <w:tab/>
      </w:r>
      <w:r w:rsidRPr="009A101C">
        <w:tab/>
        <w:t>Material Preference</w:t>
      </w:r>
    </w:p>
    <w:p w:rsidR="004F22F3" w:rsidRPr="009A101C" w:rsidRDefault="004F22F3" w:rsidP="004F22F3">
      <w:pPr>
        <w:jc w:val="both"/>
      </w:pPr>
      <w:r w:rsidRPr="009A101C">
        <w:lastRenderedPageBreak/>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therefore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bid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lastRenderedPageBreak/>
        <w:tab/>
      </w:r>
    </w:p>
    <w:p w:rsidR="004F22F3" w:rsidRPr="009A101C" w:rsidRDefault="004F22F3" w:rsidP="00B931CF">
      <w:pPr>
        <w:ind w:left="720" w:firstLine="720"/>
        <w:jc w:val="both"/>
      </w:pPr>
      <w:r w:rsidRPr="009A101C">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4F22F3" w:rsidRPr="00B974AF"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4F22F3" w:rsidRPr="00B974AF" w:rsidRDefault="004F22F3" w:rsidP="004F22F3">
      <w:pPr>
        <w:ind w:left="720" w:firstLine="720"/>
        <w:jc w:val="both"/>
      </w:pPr>
      <w:r w:rsidRPr="00B974AF">
        <w:t xml:space="preserve">meeting after the specified start time, otherwise the </w:t>
      </w:r>
      <w:r>
        <w:t>bid</w:t>
      </w:r>
      <w:r w:rsidRPr="00B974AF">
        <w:t xml:space="preserve"> will be considered non-responsive.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4F22F3" w:rsidRPr="009A101C" w:rsidRDefault="004F22F3" w:rsidP="004F22F3">
      <w:pPr>
        <w:jc w:val="both"/>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days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are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4F22F3" w:rsidRPr="009A101C" w:rsidRDefault="004F22F3" w:rsidP="004F22F3">
      <w:pPr>
        <w:jc w:val="both"/>
      </w:pPr>
    </w:p>
    <w:p w:rsidR="008104B5" w:rsidRDefault="008104B5" w:rsidP="004F22F3">
      <w:pPr>
        <w:ind w:firstLine="720"/>
        <w:jc w:val="both"/>
        <w:rPr>
          <w:b/>
        </w:rPr>
      </w:pP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lastRenderedPageBreak/>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4F22F3" w:rsidRPr="009A101C" w:rsidRDefault="004F22F3" w:rsidP="004F22F3">
      <w:pPr>
        <w:jc w:val="both"/>
      </w:pP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persons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twelve month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lastRenderedPageBreak/>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4F22F3" w:rsidRDefault="004F22F3" w:rsidP="004F22F3">
      <w:pPr>
        <w:pStyle w:val="ListParagraph"/>
        <w:ind w:left="2520"/>
        <w:jc w:val="both"/>
      </w:pPr>
      <w:r w:rsidRPr="009A101C">
        <w:t>contract documents.</w:t>
      </w:r>
    </w:p>
    <w:p w:rsidR="004F22F3" w:rsidRDefault="004F22F3" w:rsidP="004F22F3">
      <w:pPr>
        <w:pStyle w:val="ListParagraph"/>
        <w:ind w:left="2520"/>
        <w:jc w:val="both"/>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days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lastRenderedPageBreak/>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rPr>
          <w:u w:val="single"/>
        </w:rPr>
      </w:pPr>
      <w:r w:rsidRPr="009A101C">
        <w:tab/>
        <w:t>requirements where required for Bidders as set forth in law are met.</w:t>
      </w:r>
    </w:p>
    <w:p w:rsidR="004F22F3" w:rsidRPr="00AD722D" w:rsidRDefault="004F22F3" w:rsidP="004F22F3">
      <w:pPr>
        <w:rPr>
          <w:u w:val="single"/>
        </w:rPr>
      </w:pPr>
      <w:r w:rsidRPr="00AD722D">
        <w:rPr>
          <w:u w:val="single"/>
        </w:rPr>
        <w:t>________________________  ____________________________________________________</w:t>
      </w:r>
      <w:r>
        <w:rPr>
          <w:u w:val="single"/>
        </w:rPr>
        <w:t>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Pr="009A101C" w:rsidRDefault="004F22F3" w:rsidP="004F22F3">
      <w:r w:rsidRPr="009A101C">
        <w:rPr>
          <w:bCs/>
        </w:rPr>
        <w:t>If more convenient, tabulations are available for pick-up after final award. No bid tabulations will be faxed.</w:t>
      </w:r>
    </w:p>
    <w:p w:rsidR="0047403B" w:rsidRDefault="00C34625" w:rsidP="0047403B">
      <w:pPr>
        <w:jc w:val="center"/>
        <w:rPr>
          <w:b/>
          <w:bCs/>
          <w:sz w:val="28"/>
          <w:szCs w:val="28"/>
        </w:rPr>
      </w:pPr>
      <w:r>
        <w:rPr>
          <w:b/>
          <w:bCs/>
          <w:sz w:val="28"/>
          <w:szCs w:val="28"/>
        </w:rPr>
        <w:lastRenderedPageBreak/>
        <w:t>Price Schedule</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2" w:name="Section_4"/>
      <w:r>
        <w:rPr>
          <w:b/>
          <w:bCs/>
          <w:smallCaps/>
        </w:rPr>
        <w:t>Bid Evaluation</w:t>
      </w:r>
      <w:bookmarkEnd w:id="2"/>
    </w:p>
    <w:p w:rsidR="00D4207A" w:rsidRDefault="00D4207A" w:rsidP="00D4207A">
      <w:pPr>
        <w:keepNext/>
        <w:rPr>
          <w:sz w:val="22"/>
          <w:szCs w:val="22"/>
        </w:rPr>
      </w:pPr>
    </w:p>
    <w:p w:rsidR="00D4207A" w:rsidRDefault="00D4207A" w:rsidP="00D4207A">
      <w:pPr>
        <w:keepNext/>
        <w:jc w:val="both"/>
      </w:pPr>
      <w:r>
        <w:t>This section identifies how City of Myrtle Beach, herein called City,  Purchasing Division will evaluate IFB bids.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  (1)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D4207A" w:rsidRDefault="00D4207A" w:rsidP="00D4207A">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D4207A" w:rsidRDefault="00D4207A" w:rsidP="00D4207A">
      <w:pPr>
        <w:pStyle w:val="ListParagraph"/>
        <w:numPr>
          <w:ilvl w:val="0"/>
          <w:numId w:val="35"/>
        </w:numPr>
        <w:overflowPunct w:val="0"/>
        <w:autoSpaceDE w:val="0"/>
        <w:autoSpaceDN w:val="0"/>
        <w:spacing w:before="240"/>
        <w:jc w:val="both"/>
      </w:pPr>
      <w:r>
        <w:rPr>
          <w:b/>
          <w:bCs/>
          <w:smallCaps/>
        </w:rPr>
        <w:t>Specifications Evaluation (Step 2)</w:t>
      </w:r>
      <w:r>
        <w:t>.  City will utilize a stakeholder committee to evaluate each bid to ensure that each bidder’s product or service meets the specifications on a pass/fail basis. The City reserves the right to request additional information or perform tests and measurements before selecting the Apparent Successful Bidder (“ASB”).  A bidder’s failure to provide requested information to Enterprise the City within two (2) business days may result in disqualification.</w:t>
      </w:r>
    </w:p>
    <w:p w:rsidR="00D4207A" w:rsidRDefault="00D4207A" w:rsidP="00D4207A">
      <w:pPr>
        <w:pStyle w:val="ListParagraph"/>
        <w:numPr>
          <w:ilvl w:val="0"/>
          <w:numId w:val="35"/>
        </w:numPr>
        <w:overflowPunct w:val="0"/>
        <w:autoSpaceDE w:val="0"/>
        <w:autoSpaceDN w:val="0"/>
        <w:spacing w:before="240"/>
        <w:jc w:val="both"/>
        <w:rPr>
          <w:b/>
          <w:bCs/>
          <w:smallCaps/>
        </w:rPr>
      </w:pPr>
      <w:r>
        <w:rPr>
          <w:b/>
          <w:bCs/>
          <w:smallCaps/>
        </w:rPr>
        <w:t>Bid Pricing Evaluation (Step 3)</w:t>
      </w:r>
      <w:r>
        <w:t xml:space="preserve">.  City will evaluate bid prices – to identify the lowest evaluation total – by reviewing and comparing the submitted bid prices provided in the Pricing Schedule. </w:t>
      </w:r>
    </w:p>
    <w:p w:rsidR="00D4207A" w:rsidRDefault="00D4207A" w:rsidP="00D4207A">
      <w:pPr>
        <w:spacing w:before="240"/>
        <w:ind w:left="720"/>
        <w:jc w:val="both"/>
      </w:pPr>
      <w:r>
        <w:t xml:space="preserve">Bidders may bid one or more product in one or more category. Bidder must provide an unit price for each item/product and or services being bid. The unit price will be multiplied by the estimated quantity use to form an extended price. The extended price will be used for evaluation purposes only. </w:t>
      </w:r>
    </w:p>
    <w:p w:rsidR="00D4207A" w:rsidRDefault="00D4207A" w:rsidP="00D4207A">
      <w:pPr>
        <w:spacing w:before="240"/>
        <w:ind w:left="720"/>
        <w:jc w:val="both"/>
      </w:pPr>
      <w:r>
        <w:t>The Bidder offering the lowest evaluated total extended price for all items will be considered for award. City may award to multiple vendors if it is beneficial to the City</w:t>
      </w:r>
    </w:p>
    <w:p w:rsidR="00D4207A" w:rsidRDefault="00D4207A" w:rsidP="00D4207A">
      <w:pPr>
        <w:pStyle w:val="ListParagraph"/>
        <w:numPr>
          <w:ilvl w:val="0"/>
          <w:numId w:val="35"/>
        </w:numPr>
        <w:spacing w:before="240"/>
        <w:jc w:val="both"/>
      </w:pPr>
      <w:r>
        <w:rPr>
          <w:b/>
          <w:bCs/>
          <w:smallCaps/>
        </w:rPr>
        <w:lastRenderedPageBreak/>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AE3D20" w:rsidRDefault="00AE3D20" w:rsidP="00AE3D20">
      <w:r w:rsidRPr="00910526">
        <w:t>The</w:t>
      </w:r>
      <w:r>
        <w:t xml:space="preserve"> City of Myrtle Beach would like to obtain </w:t>
      </w:r>
      <w:r w:rsidR="00EC776B">
        <w:t>following items</w:t>
      </w:r>
      <w:r>
        <w:t xml:space="preserve"> for the Police Department with below the minimum specifications:</w:t>
      </w:r>
    </w:p>
    <w:p w:rsidR="00EC776B" w:rsidRDefault="00EC776B" w:rsidP="00AE3D20"/>
    <w:p w:rsidR="00EC776B" w:rsidRPr="00EC776B" w:rsidRDefault="00EC776B" w:rsidP="00AE3D20">
      <w:pPr>
        <w:rPr>
          <w:b/>
        </w:rPr>
      </w:pPr>
      <w:r w:rsidRPr="00EC776B">
        <w:rPr>
          <w:b/>
        </w:rPr>
        <w:t>NO SUBSITUTIONS</w:t>
      </w:r>
    </w:p>
    <w:tbl>
      <w:tblPr>
        <w:tblStyle w:val="TableGrid"/>
        <w:tblW w:w="8602" w:type="dxa"/>
        <w:tblLook w:val="04A0" w:firstRow="1" w:lastRow="0" w:firstColumn="1" w:lastColumn="0" w:noHBand="0" w:noVBand="1"/>
      </w:tblPr>
      <w:tblGrid>
        <w:gridCol w:w="656"/>
        <w:gridCol w:w="3632"/>
        <w:gridCol w:w="571"/>
        <w:gridCol w:w="654"/>
        <w:gridCol w:w="1553"/>
        <w:gridCol w:w="1536"/>
      </w:tblGrid>
      <w:tr w:rsidR="00EC776B" w:rsidRPr="00810102" w:rsidTr="000A5042">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632" w:type="dxa"/>
          </w:tcPr>
          <w:p w:rsidR="00EC776B" w:rsidRPr="00810102" w:rsidRDefault="00EC776B" w:rsidP="00EC776B">
            <w:pPr>
              <w:pStyle w:val="NoSpacing"/>
              <w:jc w:val="center"/>
              <w:rPr>
                <w:b/>
                <w:sz w:val="22"/>
                <w:szCs w:val="22"/>
              </w:rPr>
            </w:pPr>
            <w:r w:rsidRPr="00810102">
              <w:rPr>
                <w:b/>
                <w:sz w:val="22"/>
                <w:szCs w:val="22"/>
              </w:rPr>
              <w:t>Description</w:t>
            </w:r>
          </w:p>
        </w:tc>
        <w:tc>
          <w:tcPr>
            <w:tcW w:w="571" w:type="dxa"/>
          </w:tcPr>
          <w:p w:rsidR="00EC776B" w:rsidRPr="00810102" w:rsidRDefault="00EC776B" w:rsidP="00EC776B">
            <w:pPr>
              <w:pStyle w:val="NoSpacing"/>
              <w:jc w:val="center"/>
              <w:rPr>
                <w:b/>
                <w:sz w:val="22"/>
                <w:szCs w:val="22"/>
              </w:rPr>
            </w:pPr>
            <w:r w:rsidRPr="00810102">
              <w:rPr>
                <w:b/>
                <w:sz w:val="22"/>
                <w:szCs w:val="22"/>
              </w:rPr>
              <w:t>Qty</w:t>
            </w:r>
          </w:p>
        </w:tc>
        <w:tc>
          <w:tcPr>
            <w:tcW w:w="654" w:type="dxa"/>
          </w:tcPr>
          <w:p w:rsidR="00EC776B" w:rsidRPr="00810102" w:rsidRDefault="00EC776B" w:rsidP="00EC776B">
            <w:pPr>
              <w:pStyle w:val="NoSpacing"/>
              <w:jc w:val="center"/>
              <w:rPr>
                <w:b/>
                <w:sz w:val="22"/>
                <w:szCs w:val="22"/>
              </w:rPr>
            </w:pPr>
            <w:r>
              <w:rPr>
                <w:b/>
                <w:sz w:val="22"/>
                <w:szCs w:val="22"/>
              </w:rPr>
              <w:t>Unit</w:t>
            </w:r>
          </w:p>
        </w:tc>
        <w:tc>
          <w:tcPr>
            <w:tcW w:w="1553" w:type="dxa"/>
          </w:tcPr>
          <w:p w:rsidR="00EC776B" w:rsidRPr="00810102" w:rsidRDefault="00EC776B" w:rsidP="00EC776B">
            <w:pPr>
              <w:pStyle w:val="NoSpacing"/>
              <w:jc w:val="center"/>
              <w:rPr>
                <w:b/>
                <w:sz w:val="22"/>
                <w:szCs w:val="22"/>
              </w:rPr>
            </w:pPr>
            <w:r w:rsidRPr="00810102">
              <w:rPr>
                <w:b/>
                <w:sz w:val="22"/>
                <w:szCs w:val="22"/>
              </w:rPr>
              <w:t>Unit Bid Price</w:t>
            </w:r>
          </w:p>
        </w:tc>
        <w:tc>
          <w:tcPr>
            <w:tcW w:w="1536"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0A5042">
        <w:tc>
          <w:tcPr>
            <w:tcW w:w="656" w:type="dxa"/>
          </w:tcPr>
          <w:p w:rsidR="00EC776B" w:rsidRPr="00810102" w:rsidRDefault="00EC776B" w:rsidP="00EC776B">
            <w:pPr>
              <w:pStyle w:val="NoSpacing"/>
              <w:jc w:val="center"/>
              <w:rPr>
                <w:sz w:val="22"/>
                <w:szCs w:val="22"/>
              </w:rPr>
            </w:pPr>
            <w:r>
              <w:rPr>
                <w:sz w:val="22"/>
                <w:szCs w:val="22"/>
              </w:rPr>
              <w:t>1.</w:t>
            </w:r>
          </w:p>
        </w:tc>
        <w:tc>
          <w:tcPr>
            <w:tcW w:w="3632" w:type="dxa"/>
          </w:tcPr>
          <w:p w:rsidR="00EC776B" w:rsidRPr="00810102" w:rsidRDefault="00EC776B" w:rsidP="00EC776B">
            <w:pPr>
              <w:pStyle w:val="NoSpacing"/>
              <w:rPr>
                <w:sz w:val="22"/>
                <w:szCs w:val="22"/>
              </w:rPr>
            </w:pPr>
            <w:r>
              <w:rPr>
                <w:sz w:val="22"/>
                <w:szCs w:val="22"/>
              </w:rPr>
              <w:t>Plate Carrier, Point Blank Paraclete SOHPC Plate Carrier with Armor Cummerbund, Laser Cut, Color: Multicam</w:t>
            </w:r>
          </w:p>
        </w:tc>
        <w:tc>
          <w:tcPr>
            <w:tcW w:w="571" w:type="dxa"/>
          </w:tcPr>
          <w:p w:rsidR="00EC776B" w:rsidRPr="00810102" w:rsidRDefault="00EC776B" w:rsidP="000A5042">
            <w:pPr>
              <w:pStyle w:val="NoSpacing"/>
              <w:jc w:val="right"/>
              <w:rPr>
                <w:sz w:val="22"/>
                <w:szCs w:val="22"/>
              </w:rPr>
            </w:pPr>
            <w:r>
              <w:rPr>
                <w:sz w:val="22"/>
                <w:szCs w:val="22"/>
              </w:rPr>
              <w:t>22</w:t>
            </w:r>
          </w:p>
        </w:tc>
        <w:tc>
          <w:tcPr>
            <w:tcW w:w="654" w:type="dxa"/>
          </w:tcPr>
          <w:p w:rsidR="00EC776B" w:rsidRPr="00810102" w:rsidRDefault="00EC776B" w:rsidP="00EC776B">
            <w:pPr>
              <w:pStyle w:val="NoSpacing"/>
              <w:rPr>
                <w:sz w:val="22"/>
                <w:szCs w:val="22"/>
              </w:rPr>
            </w:pPr>
            <w:r>
              <w:rPr>
                <w:sz w:val="22"/>
                <w:szCs w:val="22"/>
              </w:rPr>
              <w:t>Ea</w:t>
            </w:r>
          </w:p>
        </w:tc>
        <w:tc>
          <w:tcPr>
            <w:tcW w:w="1553" w:type="dxa"/>
          </w:tcPr>
          <w:p w:rsidR="00EC776B" w:rsidRPr="00810102" w:rsidRDefault="00EC776B" w:rsidP="00EC776B">
            <w:pPr>
              <w:pStyle w:val="NoSpacing"/>
              <w:rPr>
                <w:sz w:val="22"/>
                <w:szCs w:val="22"/>
              </w:rPr>
            </w:pPr>
            <w:r>
              <w:rPr>
                <w:sz w:val="22"/>
                <w:szCs w:val="22"/>
              </w:rPr>
              <w:t>$__________</w:t>
            </w:r>
          </w:p>
        </w:tc>
        <w:tc>
          <w:tcPr>
            <w:tcW w:w="1536" w:type="dxa"/>
          </w:tcPr>
          <w:p w:rsidR="00EC776B" w:rsidRPr="00810102" w:rsidRDefault="00EC776B" w:rsidP="00EC776B">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2.</w:t>
            </w:r>
          </w:p>
        </w:tc>
        <w:tc>
          <w:tcPr>
            <w:tcW w:w="3632" w:type="dxa"/>
          </w:tcPr>
          <w:p w:rsidR="000A5042" w:rsidRDefault="000A5042" w:rsidP="000A5042">
            <w:pPr>
              <w:pStyle w:val="NoSpacing"/>
              <w:rPr>
                <w:sz w:val="22"/>
                <w:szCs w:val="22"/>
              </w:rPr>
            </w:pPr>
            <w:r>
              <w:rPr>
                <w:sz w:val="22"/>
                <w:szCs w:val="22"/>
              </w:rPr>
              <w:t>Vest, Point Blank Paraclete, SOHPC Tactical Swat Vest, Complete Set, Color: Multicam, Item #ABXIIIA</w:t>
            </w:r>
          </w:p>
        </w:tc>
        <w:tc>
          <w:tcPr>
            <w:tcW w:w="571" w:type="dxa"/>
          </w:tcPr>
          <w:p w:rsidR="000A5042" w:rsidRDefault="000A5042" w:rsidP="000A5042">
            <w:pPr>
              <w:pStyle w:val="NoSpacing"/>
              <w:jc w:val="right"/>
              <w:rPr>
                <w:sz w:val="22"/>
                <w:szCs w:val="22"/>
              </w:rPr>
            </w:pPr>
            <w:r>
              <w:rPr>
                <w:sz w:val="22"/>
                <w:szCs w:val="22"/>
              </w:rPr>
              <w:t>1</w:t>
            </w:r>
          </w:p>
        </w:tc>
        <w:tc>
          <w:tcPr>
            <w:tcW w:w="654" w:type="dxa"/>
          </w:tcPr>
          <w:p w:rsidR="000A5042" w:rsidRDefault="000A5042" w:rsidP="000A5042">
            <w:pPr>
              <w:pStyle w:val="NoSpacing"/>
              <w:rPr>
                <w:sz w:val="22"/>
                <w:szCs w:val="22"/>
              </w:rPr>
            </w:pPr>
            <w:r>
              <w:rPr>
                <w:sz w:val="22"/>
                <w:szCs w:val="22"/>
              </w:rPr>
              <w:t>Ea</w:t>
            </w:r>
          </w:p>
        </w:tc>
        <w:tc>
          <w:tcPr>
            <w:tcW w:w="1553"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3.</w:t>
            </w:r>
          </w:p>
        </w:tc>
        <w:tc>
          <w:tcPr>
            <w:tcW w:w="3632" w:type="dxa"/>
          </w:tcPr>
          <w:p w:rsidR="000A5042" w:rsidRDefault="000A5042" w:rsidP="000A5042">
            <w:pPr>
              <w:pStyle w:val="NoSpacing"/>
              <w:rPr>
                <w:sz w:val="22"/>
                <w:szCs w:val="22"/>
              </w:rPr>
            </w:pPr>
            <w:r>
              <w:rPr>
                <w:sz w:val="22"/>
                <w:szCs w:val="22"/>
              </w:rPr>
              <w:t>Plates, 10” x 12” Speed Plate Plus</w:t>
            </w:r>
          </w:p>
        </w:tc>
        <w:tc>
          <w:tcPr>
            <w:tcW w:w="571" w:type="dxa"/>
          </w:tcPr>
          <w:p w:rsidR="000A5042" w:rsidRDefault="000A5042" w:rsidP="000A5042">
            <w:pPr>
              <w:pStyle w:val="NoSpacing"/>
              <w:jc w:val="right"/>
              <w:rPr>
                <w:sz w:val="22"/>
                <w:szCs w:val="22"/>
              </w:rPr>
            </w:pPr>
            <w:r>
              <w:rPr>
                <w:sz w:val="22"/>
                <w:szCs w:val="22"/>
              </w:rPr>
              <w:t>44</w:t>
            </w:r>
          </w:p>
        </w:tc>
        <w:tc>
          <w:tcPr>
            <w:tcW w:w="654" w:type="dxa"/>
          </w:tcPr>
          <w:p w:rsidR="000A5042" w:rsidRDefault="000A5042" w:rsidP="000A5042">
            <w:pPr>
              <w:pStyle w:val="NoSpacing"/>
              <w:rPr>
                <w:sz w:val="22"/>
                <w:szCs w:val="22"/>
              </w:rPr>
            </w:pPr>
            <w:r>
              <w:rPr>
                <w:sz w:val="22"/>
                <w:szCs w:val="22"/>
              </w:rPr>
              <w:t>Ea</w:t>
            </w:r>
          </w:p>
        </w:tc>
        <w:tc>
          <w:tcPr>
            <w:tcW w:w="1553"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4.</w:t>
            </w:r>
          </w:p>
        </w:tc>
        <w:tc>
          <w:tcPr>
            <w:tcW w:w="3632" w:type="dxa"/>
          </w:tcPr>
          <w:p w:rsidR="000A5042" w:rsidRDefault="000A5042" w:rsidP="000A5042">
            <w:pPr>
              <w:pStyle w:val="NoSpacing"/>
              <w:rPr>
                <w:sz w:val="22"/>
                <w:szCs w:val="22"/>
              </w:rPr>
            </w:pPr>
            <w:r>
              <w:rPr>
                <w:sz w:val="22"/>
                <w:szCs w:val="22"/>
              </w:rPr>
              <w:t>Plates, 11” x 14” Speed Plate Plus</w:t>
            </w:r>
          </w:p>
        </w:tc>
        <w:tc>
          <w:tcPr>
            <w:tcW w:w="571" w:type="dxa"/>
          </w:tcPr>
          <w:p w:rsidR="000A5042" w:rsidRDefault="000A5042" w:rsidP="000A5042">
            <w:pPr>
              <w:pStyle w:val="NoSpacing"/>
              <w:jc w:val="right"/>
              <w:rPr>
                <w:sz w:val="22"/>
                <w:szCs w:val="22"/>
              </w:rPr>
            </w:pPr>
            <w:r>
              <w:rPr>
                <w:sz w:val="22"/>
                <w:szCs w:val="22"/>
              </w:rPr>
              <w:t>4</w:t>
            </w:r>
          </w:p>
        </w:tc>
        <w:tc>
          <w:tcPr>
            <w:tcW w:w="654" w:type="dxa"/>
          </w:tcPr>
          <w:p w:rsidR="000A5042" w:rsidRDefault="000A5042" w:rsidP="000A5042">
            <w:pPr>
              <w:pStyle w:val="NoSpacing"/>
              <w:rPr>
                <w:sz w:val="22"/>
                <w:szCs w:val="22"/>
              </w:rPr>
            </w:pPr>
            <w:r>
              <w:rPr>
                <w:sz w:val="22"/>
                <w:szCs w:val="22"/>
              </w:rPr>
              <w:t>Ea</w:t>
            </w:r>
          </w:p>
        </w:tc>
        <w:tc>
          <w:tcPr>
            <w:tcW w:w="1553" w:type="dxa"/>
          </w:tcPr>
          <w:p w:rsidR="000A5042" w:rsidRPr="00810102" w:rsidRDefault="000A5042" w:rsidP="000A5042">
            <w:pPr>
              <w:pStyle w:val="NoSpacing"/>
              <w:rPr>
                <w:sz w:val="22"/>
                <w:szCs w:val="22"/>
              </w:rPr>
            </w:pPr>
            <w:r>
              <w:rPr>
                <w:sz w:val="22"/>
                <w:szCs w:val="22"/>
              </w:rPr>
              <w:t>$__________</w:t>
            </w:r>
          </w:p>
        </w:tc>
        <w:tc>
          <w:tcPr>
            <w:tcW w:w="1536" w:type="dxa"/>
          </w:tcPr>
          <w:p w:rsidR="000A5042" w:rsidRPr="00810102" w:rsidRDefault="000A5042" w:rsidP="000A5042">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5.</w:t>
            </w:r>
          </w:p>
        </w:tc>
        <w:tc>
          <w:tcPr>
            <w:tcW w:w="3632" w:type="dxa"/>
          </w:tcPr>
          <w:p w:rsidR="000A5042" w:rsidRDefault="000A5042" w:rsidP="000A5042">
            <w:pPr>
              <w:pStyle w:val="NoSpacing"/>
              <w:rPr>
                <w:sz w:val="22"/>
                <w:szCs w:val="22"/>
              </w:rPr>
            </w:pPr>
            <w:r>
              <w:rPr>
                <w:sz w:val="22"/>
                <w:szCs w:val="22"/>
              </w:rPr>
              <w:t>Pants, 5.11 Brand Tactical Taclite Pro Pant, Color: Multicam, Item #74350169  Size Large</w:t>
            </w:r>
          </w:p>
        </w:tc>
        <w:tc>
          <w:tcPr>
            <w:tcW w:w="571" w:type="dxa"/>
          </w:tcPr>
          <w:p w:rsidR="000A5042" w:rsidRDefault="000A5042" w:rsidP="000A5042">
            <w:pPr>
              <w:pStyle w:val="NoSpacing"/>
              <w:jc w:val="right"/>
              <w:rPr>
                <w:sz w:val="22"/>
                <w:szCs w:val="22"/>
              </w:rPr>
            </w:pPr>
          </w:p>
          <w:p w:rsidR="000A5042" w:rsidRDefault="000A5042" w:rsidP="000A5042">
            <w:pPr>
              <w:pStyle w:val="NoSpacing"/>
              <w:jc w:val="right"/>
              <w:rPr>
                <w:sz w:val="22"/>
                <w:szCs w:val="22"/>
              </w:rPr>
            </w:pPr>
            <w:r>
              <w:rPr>
                <w:sz w:val="22"/>
                <w:szCs w:val="22"/>
              </w:rPr>
              <w:t xml:space="preserve">2 </w:t>
            </w:r>
          </w:p>
        </w:tc>
        <w:tc>
          <w:tcPr>
            <w:tcW w:w="654"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EA</w:t>
            </w:r>
          </w:p>
        </w:tc>
        <w:tc>
          <w:tcPr>
            <w:tcW w:w="1553"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6.</w:t>
            </w:r>
          </w:p>
        </w:tc>
        <w:tc>
          <w:tcPr>
            <w:tcW w:w="3632" w:type="dxa"/>
          </w:tcPr>
          <w:p w:rsidR="000A5042" w:rsidRDefault="000A5042" w:rsidP="000A5042">
            <w:pPr>
              <w:pStyle w:val="NoSpacing"/>
              <w:rPr>
                <w:sz w:val="22"/>
                <w:szCs w:val="22"/>
              </w:rPr>
            </w:pPr>
            <w:r>
              <w:rPr>
                <w:sz w:val="22"/>
                <w:szCs w:val="22"/>
              </w:rPr>
              <w:t>Pants, 5.11 Brand Tactical Taclite Pro Pant, Color: Multicam, Item #74350169  Size Medium</w:t>
            </w:r>
          </w:p>
        </w:tc>
        <w:tc>
          <w:tcPr>
            <w:tcW w:w="571" w:type="dxa"/>
          </w:tcPr>
          <w:p w:rsidR="000A5042" w:rsidRDefault="000A5042" w:rsidP="000A5042">
            <w:pPr>
              <w:pStyle w:val="NoSpacing"/>
              <w:jc w:val="right"/>
              <w:rPr>
                <w:sz w:val="22"/>
                <w:szCs w:val="22"/>
              </w:rPr>
            </w:pPr>
          </w:p>
          <w:p w:rsidR="000A5042" w:rsidRDefault="00F06042" w:rsidP="000A5042">
            <w:pPr>
              <w:pStyle w:val="NoSpacing"/>
              <w:jc w:val="right"/>
              <w:rPr>
                <w:sz w:val="22"/>
                <w:szCs w:val="22"/>
              </w:rPr>
            </w:pPr>
            <w:r>
              <w:rPr>
                <w:sz w:val="22"/>
                <w:szCs w:val="22"/>
              </w:rPr>
              <w:t>3</w:t>
            </w:r>
          </w:p>
        </w:tc>
        <w:tc>
          <w:tcPr>
            <w:tcW w:w="654"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Ea</w:t>
            </w:r>
          </w:p>
        </w:tc>
        <w:tc>
          <w:tcPr>
            <w:tcW w:w="1553"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0A5042">
        <w:tc>
          <w:tcPr>
            <w:tcW w:w="656" w:type="dxa"/>
          </w:tcPr>
          <w:p w:rsidR="000A5042" w:rsidRDefault="000A5042" w:rsidP="000A5042">
            <w:pPr>
              <w:pStyle w:val="NoSpacing"/>
              <w:jc w:val="center"/>
              <w:rPr>
                <w:sz w:val="22"/>
                <w:szCs w:val="22"/>
              </w:rPr>
            </w:pPr>
            <w:r>
              <w:rPr>
                <w:sz w:val="22"/>
                <w:szCs w:val="22"/>
              </w:rPr>
              <w:t>7.</w:t>
            </w:r>
          </w:p>
        </w:tc>
        <w:tc>
          <w:tcPr>
            <w:tcW w:w="3632" w:type="dxa"/>
          </w:tcPr>
          <w:p w:rsidR="000A5042" w:rsidRDefault="000A5042" w:rsidP="000A5042">
            <w:pPr>
              <w:pStyle w:val="NoSpacing"/>
              <w:rPr>
                <w:sz w:val="22"/>
                <w:szCs w:val="22"/>
              </w:rPr>
            </w:pPr>
            <w:r>
              <w:rPr>
                <w:sz w:val="22"/>
                <w:szCs w:val="22"/>
              </w:rPr>
              <w:t>Parkas, Truspec Brand, H20 Proof ECWCS, Color: Multicam, Item 2026</w:t>
            </w:r>
            <w:r w:rsidR="00F06042">
              <w:rPr>
                <w:sz w:val="22"/>
                <w:szCs w:val="22"/>
              </w:rPr>
              <w:t xml:space="preserve"> Size Large</w:t>
            </w:r>
          </w:p>
        </w:tc>
        <w:tc>
          <w:tcPr>
            <w:tcW w:w="571" w:type="dxa"/>
          </w:tcPr>
          <w:p w:rsidR="000A5042" w:rsidRDefault="000A5042" w:rsidP="000A5042">
            <w:pPr>
              <w:pStyle w:val="NoSpacing"/>
              <w:jc w:val="right"/>
              <w:rPr>
                <w:sz w:val="22"/>
                <w:szCs w:val="22"/>
              </w:rPr>
            </w:pPr>
          </w:p>
          <w:p w:rsidR="000A5042" w:rsidRDefault="000A5042" w:rsidP="000A5042">
            <w:pPr>
              <w:pStyle w:val="NoSpacing"/>
              <w:jc w:val="right"/>
              <w:rPr>
                <w:sz w:val="22"/>
                <w:szCs w:val="22"/>
              </w:rPr>
            </w:pPr>
            <w:r>
              <w:rPr>
                <w:sz w:val="22"/>
                <w:szCs w:val="22"/>
              </w:rPr>
              <w:t>2</w:t>
            </w:r>
          </w:p>
        </w:tc>
        <w:tc>
          <w:tcPr>
            <w:tcW w:w="654"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Ea</w:t>
            </w:r>
          </w:p>
        </w:tc>
        <w:tc>
          <w:tcPr>
            <w:tcW w:w="1553"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F06042" w:rsidRPr="00810102" w:rsidTr="000A5042">
        <w:tc>
          <w:tcPr>
            <w:tcW w:w="656" w:type="dxa"/>
          </w:tcPr>
          <w:p w:rsidR="00F06042" w:rsidRDefault="00F06042" w:rsidP="00F06042">
            <w:pPr>
              <w:pStyle w:val="NoSpacing"/>
              <w:jc w:val="center"/>
              <w:rPr>
                <w:sz w:val="22"/>
                <w:szCs w:val="22"/>
              </w:rPr>
            </w:pPr>
            <w:r>
              <w:rPr>
                <w:sz w:val="22"/>
                <w:szCs w:val="22"/>
              </w:rPr>
              <w:t>8.</w:t>
            </w:r>
          </w:p>
        </w:tc>
        <w:tc>
          <w:tcPr>
            <w:tcW w:w="3632" w:type="dxa"/>
          </w:tcPr>
          <w:p w:rsidR="00F06042" w:rsidRDefault="00F06042" w:rsidP="00F06042">
            <w:pPr>
              <w:pStyle w:val="NoSpacing"/>
              <w:rPr>
                <w:sz w:val="22"/>
                <w:szCs w:val="22"/>
              </w:rPr>
            </w:pPr>
            <w:r>
              <w:rPr>
                <w:sz w:val="22"/>
                <w:szCs w:val="22"/>
              </w:rPr>
              <w:t>Parkas, Truspec Brand, H20 Proof ECWCS, Color: Multicam, Item 2026 Size Medium</w:t>
            </w:r>
          </w:p>
        </w:tc>
        <w:tc>
          <w:tcPr>
            <w:tcW w:w="571" w:type="dxa"/>
          </w:tcPr>
          <w:p w:rsidR="00F06042" w:rsidRDefault="00F06042" w:rsidP="00F06042">
            <w:pPr>
              <w:pStyle w:val="NoSpacing"/>
              <w:jc w:val="right"/>
              <w:rPr>
                <w:sz w:val="22"/>
                <w:szCs w:val="22"/>
              </w:rPr>
            </w:pPr>
          </w:p>
          <w:p w:rsidR="00F06042" w:rsidRDefault="00F06042" w:rsidP="00F06042">
            <w:pPr>
              <w:pStyle w:val="NoSpacing"/>
              <w:jc w:val="right"/>
              <w:rPr>
                <w:sz w:val="22"/>
                <w:szCs w:val="22"/>
              </w:rPr>
            </w:pPr>
            <w:r>
              <w:rPr>
                <w:sz w:val="22"/>
                <w:szCs w:val="22"/>
              </w:rPr>
              <w:t>4</w:t>
            </w:r>
          </w:p>
        </w:tc>
        <w:tc>
          <w:tcPr>
            <w:tcW w:w="654" w:type="dxa"/>
          </w:tcPr>
          <w:p w:rsidR="00F06042" w:rsidRDefault="00F06042" w:rsidP="00F06042">
            <w:pPr>
              <w:pStyle w:val="NoSpacing"/>
              <w:rPr>
                <w:sz w:val="22"/>
                <w:szCs w:val="22"/>
              </w:rPr>
            </w:pPr>
          </w:p>
          <w:p w:rsidR="00F06042" w:rsidRDefault="00F06042" w:rsidP="00F06042">
            <w:pPr>
              <w:pStyle w:val="NoSpacing"/>
              <w:rPr>
                <w:sz w:val="22"/>
                <w:szCs w:val="22"/>
              </w:rPr>
            </w:pPr>
            <w:r>
              <w:rPr>
                <w:sz w:val="22"/>
                <w:szCs w:val="22"/>
              </w:rPr>
              <w:t>Ea</w:t>
            </w:r>
          </w:p>
        </w:tc>
        <w:tc>
          <w:tcPr>
            <w:tcW w:w="1553" w:type="dxa"/>
          </w:tcPr>
          <w:p w:rsidR="00F06042" w:rsidRDefault="00F06042" w:rsidP="00F06042">
            <w:pPr>
              <w:pStyle w:val="NoSpacing"/>
              <w:rPr>
                <w:sz w:val="22"/>
                <w:szCs w:val="22"/>
              </w:rPr>
            </w:pPr>
          </w:p>
          <w:p w:rsidR="00F06042" w:rsidRPr="00810102" w:rsidRDefault="00F06042" w:rsidP="00F06042">
            <w:pPr>
              <w:pStyle w:val="NoSpacing"/>
              <w:rPr>
                <w:sz w:val="22"/>
                <w:szCs w:val="22"/>
              </w:rPr>
            </w:pPr>
            <w:r>
              <w:rPr>
                <w:sz w:val="22"/>
                <w:szCs w:val="22"/>
              </w:rPr>
              <w:t>$__________</w:t>
            </w:r>
          </w:p>
        </w:tc>
        <w:tc>
          <w:tcPr>
            <w:tcW w:w="1536" w:type="dxa"/>
          </w:tcPr>
          <w:p w:rsidR="00F06042" w:rsidRDefault="00F06042" w:rsidP="00F06042">
            <w:pPr>
              <w:pStyle w:val="NoSpacing"/>
              <w:rPr>
                <w:sz w:val="22"/>
                <w:szCs w:val="22"/>
              </w:rPr>
            </w:pPr>
          </w:p>
          <w:p w:rsidR="00F06042" w:rsidRPr="00810102" w:rsidRDefault="00F06042" w:rsidP="00F06042">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9.</w:t>
            </w:r>
          </w:p>
        </w:tc>
        <w:tc>
          <w:tcPr>
            <w:tcW w:w="3632" w:type="dxa"/>
          </w:tcPr>
          <w:p w:rsidR="00900E77" w:rsidRDefault="00900E77" w:rsidP="00900E77">
            <w:pPr>
              <w:pStyle w:val="NoSpacing"/>
              <w:rPr>
                <w:sz w:val="22"/>
                <w:szCs w:val="22"/>
              </w:rPr>
            </w:pPr>
            <w:r>
              <w:rPr>
                <w:sz w:val="22"/>
                <w:szCs w:val="22"/>
              </w:rPr>
              <w:t>Shirts, 5.11 Band, Rapid Assult Shirt, Color: Multicam, Item #721895-169 Size Large</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 xml:space="preserve">    2</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10.</w:t>
            </w:r>
          </w:p>
        </w:tc>
        <w:tc>
          <w:tcPr>
            <w:tcW w:w="3632" w:type="dxa"/>
          </w:tcPr>
          <w:p w:rsidR="00900E77" w:rsidRDefault="00900E77" w:rsidP="00900E77">
            <w:pPr>
              <w:pStyle w:val="NoSpacing"/>
              <w:rPr>
                <w:sz w:val="22"/>
                <w:szCs w:val="22"/>
              </w:rPr>
            </w:pPr>
            <w:r>
              <w:rPr>
                <w:sz w:val="22"/>
                <w:szCs w:val="22"/>
              </w:rPr>
              <w:t>Shirts, 5.11 Band, Rapid Assult Shirt, Color: Multicam, Item #721895-169 Size Medium</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 xml:space="preserve">    3</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11.</w:t>
            </w:r>
          </w:p>
        </w:tc>
        <w:tc>
          <w:tcPr>
            <w:tcW w:w="3632" w:type="dxa"/>
          </w:tcPr>
          <w:p w:rsidR="00900E77" w:rsidRDefault="00900E77" w:rsidP="00900E77">
            <w:pPr>
              <w:pStyle w:val="NoSpacing"/>
              <w:rPr>
                <w:sz w:val="22"/>
                <w:szCs w:val="22"/>
              </w:rPr>
            </w:pPr>
            <w:r>
              <w:rPr>
                <w:sz w:val="22"/>
                <w:szCs w:val="22"/>
              </w:rPr>
              <w:t>Boots, Belleville Boots, Item #BV-TR555M9  Size 9-1/2</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2</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12.</w:t>
            </w:r>
          </w:p>
        </w:tc>
        <w:tc>
          <w:tcPr>
            <w:tcW w:w="3632" w:type="dxa"/>
          </w:tcPr>
          <w:p w:rsidR="00900E77" w:rsidRDefault="00900E77" w:rsidP="00900E77">
            <w:pPr>
              <w:pStyle w:val="NoSpacing"/>
              <w:rPr>
                <w:sz w:val="22"/>
                <w:szCs w:val="22"/>
              </w:rPr>
            </w:pPr>
            <w:r>
              <w:rPr>
                <w:sz w:val="22"/>
                <w:szCs w:val="22"/>
              </w:rPr>
              <w:t>Boots, Belleville Boots, Item #BV-TR555M9  Size 10</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1</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13.</w:t>
            </w:r>
          </w:p>
        </w:tc>
        <w:tc>
          <w:tcPr>
            <w:tcW w:w="3632" w:type="dxa"/>
          </w:tcPr>
          <w:p w:rsidR="00900E77" w:rsidRDefault="00900E77" w:rsidP="00900E77">
            <w:pPr>
              <w:pStyle w:val="NoSpacing"/>
              <w:rPr>
                <w:sz w:val="22"/>
                <w:szCs w:val="22"/>
              </w:rPr>
            </w:pPr>
            <w:r>
              <w:rPr>
                <w:sz w:val="22"/>
                <w:szCs w:val="22"/>
              </w:rPr>
              <w:t>Boots, Belleville Boots, Item #BV-TR555M9  Size 11-1/2</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1</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14.</w:t>
            </w:r>
          </w:p>
        </w:tc>
        <w:tc>
          <w:tcPr>
            <w:tcW w:w="3632" w:type="dxa"/>
          </w:tcPr>
          <w:p w:rsidR="00900E77" w:rsidRDefault="00900E77" w:rsidP="00900E77">
            <w:pPr>
              <w:pStyle w:val="NoSpacing"/>
              <w:rPr>
                <w:sz w:val="22"/>
                <w:szCs w:val="22"/>
              </w:rPr>
            </w:pPr>
            <w:r>
              <w:rPr>
                <w:sz w:val="22"/>
                <w:szCs w:val="22"/>
              </w:rPr>
              <w:t>Helmet, Point Blank Paraclete IIIA Helmet with side and front rails, Rachete System, Rachet Liner, Item #69210</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1</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0A5042">
        <w:tc>
          <w:tcPr>
            <w:tcW w:w="656" w:type="dxa"/>
          </w:tcPr>
          <w:p w:rsidR="00900E77" w:rsidRDefault="00900E77" w:rsidP="00900E77">
            <w:pPr>
              <w:pStyle w:val="NoSpacing"/>
              <w:jc w:val="center"/>
              <w:rPr>
                <w:sz w:val="22"/>
                <w:szCs w:val="22"/>
              </w:rPr>
            </w:pPr>
            <w:r>
              <w:rPr>
                <w:sz w:val="22"/>
                <w:szCs w:val="22"/>
              </w:rPr>
              <w:t>15.</w:t>
            </w:r>
          </w:p>
        </w:tc>
        <w:tc>
          <w:tcPr>
            <w:tcW w:w="3632" w:type="dxa"/>
          </w:tcPr>
          <w:p w:rsidR="00900E77" w:rsidRDefault="00900E77" w:rsidP="00900E77">
            <w:pPr>
              <w:pStyle w:val="NoSpacing"/>
              <w:rPr>
                <w:sz w:val="22"/>
                <w:szCs w:val="22"/>
              </w:rPr>
            </w:pPr>
            <w:r>
              <w:rPr>
                <w:sz w:val="22"/>
                <w:szCs w:val="22"/>
              </w:rPr>
              <w:t>Holster, Safariland Drop Leg Tactical Holster, Item #6305-5192</w:t>
            </w:r>
          </w:p>
        </w:tc>
        <w:tc>
          <w:tcPr>
            <w:tcW w:w="571" w:type="dxa"/>
          </w:tcPr>
          <w:p w:rsidR="00900E77" w:rsidRDefault="00900E77" w:rsidP="00900E77">
            <w:pPr>
              <w:pStyle w:val="NoSpacing"/>
              <w:jc w:val="center"/>
              <w:rPr>
                <w:sz w:val="22"/>
                <w:szCs w:val="22"/>
              </w:rPr>
            </w:pPr>
          </w:p>
          <w:p w:rsidR="00900E77" w:rsidRDefault="00900E77" w:rsidP="00900E77">
            <w:pPr>
              <w:pStyle w:val="NoSpacing"/>
              <w:jc w:val="center"/>
              <w:rPr>
                <w:sz w:val="22"/>
                <w:szCs w:val="22"/>
              </w:rPr>
            </w:pPr>
            <w:r>
              <w:rPr>
                <w:sz w:val="22"/>
                <w:szCs w:val="22"/>
              </w:rPr>
              <w:t>2</w:t>
            </w:r>
          </w:p>
        </w:tc>
        <w:tc>
          <w:tcPr>
            <w:tcW w:w="654"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Ea</w:t>
            </w:r>
          </w:p>
        </w:tc>
        <w:tc>
          <w:tcPr>
            <w:tcW w:w="1553"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bl>
    <w:p w:rsidR="00C45598" w:rsidRDefault="00C45598" w:rsidP="00C45598">
      <w:pPr>
        <w:ind w:left="720"/>
        <w:rPr>
          <w:b/>
        </w:rPr>
      </w:pPr>
    </w:p>
    <w:tbl>
      <w:tblPr>
        <w:tblStyle w:val="TableGrid"/>
        <w:tblW w:w="8602" w:type="dxa"/>
        <w:tblLook w:val="04A0" w:firstRow="1" w:lastRow="0" w:firstColumn="1" w:lastColumn="0" w:noHBand="0" w:noVBand="1"/>
      </w:tblPr>
      <w:tblGrid>
        <w:gridCol w:w="656"/>
        <w:gridCol w:w="3632"/>
        <w:gridCol w:w="571"/>
        <w:gridCol w:w="654"/>
        <w:gridCol w:w="1553"/>
        <w:gridCol w:w="1536"/>
      </w:tblGrid>
      <w:tr w:rsidR="00B03DB5" w:rsidRPr="00810102" w:rsidTr="00B03DB5">
        <w:tc>
          <w:tcPr>
            <w:tcW w:w="656" w:type="dxa"/>
          </w:tcPr>
          <w:p w:rsidR="00B03DB5" w:rsidRDefault="00B03DB5" w:rsidP="001D11D1">
            <w:pPr>
              <w:pStyle w:val="NoSpacing"/>
              <w:jc w:val="center"/>
              <w:rPr>
                <w:sz w:val="22"/>
                <w:szCs w:val="22"/>
              </w:rPr>
            </w:pPr>
            <w:r>
              <w:rPr>
                <w:sz w:val="22"/>
                <w:szCs w:val="22"/>
              </w:rPr>
              <w:t>16.</w:t>
            </w:r>
          </w:p>
        </w:tc>
        <w:tc>
          <w:tcPr>
            <w:tcW w:w="3632" w:type="dxa"/>
          </w:tcPr>
          <w:p w:rsidR="00B03DB5" w:rsidRDefault="00B03DB5" w:rsidP="001D11D1">
            <w:pPr>
              <w:pStyle w:val="NoSpacing"/>
              <w:rPr>
                <w:sz w:val="22"/>
                <w:szCs w:val="22"/>
              </w:rPr>
            </w:pPr>
            <w:r>
              <w:rPr>
                <w:sz w:val="22"/>
                <w:szCs w:val="22"/>
              </w:rPr>
              <w:t>Adapter, Safariland Drop Flex Adapter with Leg Shroud &amp; QLS22, Item #SF6004-27-SS</w:t>
            </w:r>
          </w:p>
        </w:tc>
        <w:tc>
          <w:tcPr>
            <w:tcW w:w="571" w:type="dxa"/>
          </w:tcPr>
          <w:p w:rsidR="00B03DB5" w:rsidRDefault="00B03DB5" w:rsidP="001D11D1">
            <w:pPr>
              <w:pStyle w:val="NoSpacing"/>
              <w:jc w:val="center"/>
              <w:rPr>
                <w:sz w:val="22"/>
                <w:szCs w:val="22"/>
              </w:rPr>
            </w:pPr>
          </w:p>
          <w:p w:rsidR="00B03DB5" w:rsidRDefault="00B03DB5" w:rsidP="001D11D1">
            <w:pPr>
              <w:pStyle w:val="NoSpacing"/>
              <w:jc w:val="center"/>
              <w:rPr>
                <w:sz w:val="22"/>
                <w:szCs w:val="22"/>
              </w:rPr>
            </w:pPr>
            <w:r>
              <w:rPr>
                <w:sz w:val="22"/>
                <w:szCs w:val="22"/>
              </w:rPr>
              <w:t>8</w:t>
            </w:r>
          </w:p>
        </w:tc>
        <w:tc>
          <w:tcPr>
            <w:tcW w:w="654" w:type="dxa"/>
          </w:tcPr>
          <w:p w:rsidR="00B03DB5" w:rsidRDefault="00B03DB5" w:rsidP="001D11D1">
            <w:pPr>
              <w:pStyle w:val="NoSpacing"/>
              <w:rPr>
                <w:sz w:val="22"/>
                <w:szCs w:val="22"/>
              </w:rPr>
            </w:pPr>
          </w:p>
          <w:p w:rsidR="00B03DB5" w:rsidRDefault="00B03DB5" w:rsidP="001D11D1">
            <w:pPr>
              <w:pStyle w:val="NoSpacing"/>
              <w:rPr>
                <w:sz w:val="22"/>
                <w:szCs w:val="22"/>
              </w:rPr>
            </w:pPr>
            <w:r>
              <w:rPr>
                <w:sz w:val="22"/>
                <w:szCs w:val="22"/>
              </w:rPr>
              <w:t>Ea</w:t>
            </w:r>
          </w:p>
        </w:tc>
        <w:tc>
          <w:tcPr>
            <w:tcW w:w="1553"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w:t>
            </w:r>
          </w:p>
        </w:tc>
        <w:tc>
          <w:tcPr>
            <w:tcW w:w="1536"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$___________</w:t>
            </w:r>
          </w:p>
        </w:tc>
      </w:tr>
      <w:tr w:rsidR="00B03DB5" w:rsidRPr="00810102" w:rsidTr="001D11D1">
        <w:tc>
          <w:tcPr>
            <w:tcW w:w="656" w:type="dxa"/>
          </w:tcPr>
          <w:p w:rsidR="00B03DB5" w:rsidRDefault="00B03DB5" w:rsidP="001D11D1">
            <w:pPr>
              <w:pStyle w:val="NoSpacing"/>
              <w:jc w:val="center"/>
              <w:rPr>
                <w:sz w:val="22"/>
                <w:szCs w:val="22"/>
              </w:rPr>
            </w:pPr>
            <w:r>
              <w:rPr>
                <w:sz w:val="22"/>
                <w:szCs w:val="22"/>
              </w:rPr>
              <w:t>17.</w:t>
            </w:r>
          </w:p>
        </w:tc>
        <w:tc>
          <w:tcPr>
            <w:tcW w:w="3632" w:type="dxa"/>
          </w:tcPr>
          <w:p w:rsidR="00B03DB5" w:rsidRDefault="00B03DB5" w:rsidP="001D11D1">
            <w:pPr>
              <w:pStyle w:val="NoSpacing"/>
              <w:rPr>
                <w:sz w:val="22"/>
                <w:szCs w:val="22"/>
              </w:rPr>
            </w:pPr>
            <w:r>
              <w:rPr>
                <w:sz w:val="22"/>
                <w:szCs w:val="22"/>
              </w:rPr>
              <w:t>Holster Set, Safariland QD Holster Set, Item #ELS-KITI-2</w:t>
            </w:r>
          </w:p>
        </w:tc>
        <w:tc>
          <w:tcPr>
            <w:tcW w:w="571" w:type="dxa"/>
          </w:tcPr>
          <w:p w:rsidR="00B03DB5" w:rsidRDefault="00B03DB5" w:rsidP="001D11D1">
            <w:pPr>
              <w:pStyle w:val="NoSpacing"/>
              <w:jc w:val="center"/>
              <w:rPr>
                <w:sz w:val="22"/>
                <w:szCs w:val="22"/>
              </w:rPr>
            </w:pPr>
          </w:p>
          <w:p w:rsidR="00B03DB5" w:rsidRDefault="00B03DB5" w:rsidP="001D11D1">
            <w:pPr>
              <w:pStyle w:val="NoSpacing"/>
              <w:jc w:val="center"/>
              <w:rPr>
                <w:sz w:val="22"/>
                <w:szCs w:val="22"/>
              </w:rPr>
            </w:pPr>
            <w:r>
              <w:rPr>
                <w:sz w:val="22"/>
                <w:szCs w:val="22"/>
              </w:rPr>
              <w:t>5</w:t>
            </w:r>
          </w:p>
        </w:tc>
        <w:tc>
          <w:tcPr>
            <w:tcW w:w="654" w:type="dxa"/>
          </w:tcPr>
          <w:p w:rsidR="00B03DB5" w:rsidRDefault="00B03DB5" w:rsidP="001D11D1">
            <w:pPr>
              <w:pStyle w:val="NoSpacing"/>
              <w:rPr>
                <w:sz w:val="22"/>
                <w:szCs w:val="22"/>
              </w:rPr>
            </w:pPr>
          </w:p>
          <w:p w:rsidR="00B03DB5" w:rsidRDefault="00B03DB5" w:rsidP="001D11D1">
            <w:pPr>
              <w:pStyle w:val="NoSpacing"/>
              <w:rPr>
                <w:sz w:val="22"/>
                <w:szCs w:val="22"/>
              </w:rPr>
            </w:pPr>
            <w:r>
              <w:rPr>
                <w:sz w:val="22"/>
                <w:szCs w:val="22"/>
              </w:rPr>
              <w:t>Ea</w:t>
            </w:r>
          </w:p>
        </w:tc>
        <w:tc>
          <w:tcPr>
            <w:tcW w:w="1553"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w:t>
            </w:r>
          </w:p>
        </w:tc>
        <w:tc>
          <w:tcPr>
            <w:tcW w:w="1536"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$___________</w:t>
            </w:r>
          </w:p>
        </w:tc>
      </w:tr>
      <w:tr w:rsidR="00B03DB5" w:rsidRPr="00810102" w:rsidTr="001D11D1">
        <w:tc>
          <w:tcPr>
            <w:tcW w:w="656" w:type="dxa"/>
          </w:tcPr>
          <w:p w:rsidR="00B03DB5" w:rsidRDefault="00B03DB5" w:rsidP="001D11D1">
            <w:pPr>
              <w:pStyle w:val="NoSpacing"/>
              <w:jc w:val="center"/>
              <w:rPr>
                <w:sz w:val="22"/>
                <w:szCs w:val="22"/>
              </w:rPr>
            </w:pPr>
            <w:r>
              <w:rPr>
                <w:sz w:val="22"/>
                <w:szCs w:val="22"/>
              </w:rPr>
              <w:t>18.</w:t>
            </w:r>
          </w:p>
        </w:tc>
        <w:tc>
          <w:tcPr>
            <w:tcW w:w="3632" w:type="dxa"/>
          </w:tcPr>
          <w:p w:rsidR="00B03DB5" w:rsidRDefault="00B03DB5" w:rsidP="001D11D1">
            <w:pPr>
              <w:pStyle w:val="NoSpacing"/>
              <w:rPr>
                <w:sz w:val="22"/>
                <w:szCs w:val="22"/>
              </w:rPr>
            </w:pPr>
            <w:r>
              <w:rPr>
                <w:sz w:val="22"/>
                <w:szCs w:val="22"/>
              </w:rPr>
              <w:t>Helmet Light, Streamlight Sidesinder Helmet Light, Item #14510</w:t>
            </w:r>
          </w:p>
        </w:tc>
        <w:tc>
          <w:tcPr>
            <w:tcW w:w="571" w:type="dxa"/>
          </w:tcPr>
          <w:p w:rsidR="00B03DB5" w:rsidRDefault="00B03DB5" w:rsidP="001D11D1">
            <w:pPr>
              <w:pStyle w:val="NoSpacing"/>
              <w:jc w:val="center"/>
              <w:rPr>
                <w:sz w:val="22"/>
                <w:szCs w:val="22"/>
              </w:rPr>
            </w:pPr>
          </w:p>
          <w:p w:rsidR="00B03DB5" w:rsidRDefault="00B03DB5" w:rsidP="001D11D1">
            <w:pPr>
              <w:pStyle w:val="NoSpacing"/>
              <w:jc w:val="center"/>
              <w:rPr>
                <w:sz w:val="22"/>
                <w:szCs w:val="22"/>
              </w:rPr>
            </w:pPr>
            <w:r>
              <w:rPr>
                <w:sz w:val="22"/>
                <w:szCs w:val="22"/>
              </w:rPr>
              <w:t>2</w:t>
            </w:r>
          </w:p>
        </w:tc>
        <w:tc>
          <w:tcPr>
            <w:tcW w:w="654" w:type="dxa"/>
          </w:tcPr>
          <w:p w:rsidR="00B03DB5" w:rsidRDefault="00B03DB5" w:rsidP="001D11D1">
            <w:pPr>
              <w:pStyle w:val="NoSpacing"/>
              <w:rPr>
                <w:sz w:val="22"/>
                <w:szCs w:val="22"/>
              </w:rPr>
            </w:pPr>
          </w:p>
          <w:p w:rsidR="00B03DB5" w:rsidRDefault="00B03DB5" w:rsidP="001D11D1">
            <w:pPr>
              <w:pStyle w:val="NoSpacing"/>
              <w:rPr>
                <w:sz w:val="22"/>
                <w:szCs w:val="22"/>
              </w:rPr>
            </w:pPr>
            <w:r>
              <w:rPr>
                <w:sz w:val="22"/>
                <w:szCs w:val="22"/>
              </w:rPr>
              <w:t>Ea</w:t>
            </w:r>
          </w:p>
        </w:tc>
        <w:tc>
          <w:tcPr>
            <w:tcW w:w="1553"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w:t>
            </w:r>
          </w:p>
        </w:tc>
        <w:tc>
          <w:tcPr>
            <w:tcW w:w="1536" w:type="dxa"/>
          </w:tcPr>
          <w:p w:rsidR="00B03DB5" w:rsidRDefault="00B03DB5" w:rsidP="001D11D1">
            <w:pPr>
              <w:pStyle w:val="NoSpacing"/>
              <w:rPr>
                <w:sz w:val="22"/>
                <w:szCs w:val="22"/>
              </w:rPr>
            </w:pPr>
          </w:p>
          <w:p w:rsidR="00B03DB5" w:rsidRPr="00810102" w:rsidRDefault="00B03DB5" w:rsidP="001D11D1">
            <w:pPr>
              <w:pStyle w:val="NoSpacing"/>
              <w:rPr>
                <w:sz w:val="22"/>
                <w:szCs w:val="22"/>
              </w:rPr>
            </w:pPr>
            <w:r>
              <w:rPr>
                <w:sz w:val="22"/>
                <w:szCs w:val="22"/>
              </w:rPr>
              <w:t>$___________</w:t>
            </w:r>
          </w:p>
        </w:tc>
      </w:tr>
      <w:tr w:rsidR="008F5E34" w:rsidRPr="00810102" w:rsidTr="001D11D1">
        <w:tc>
          <w:tcPr>
            <w:tcW w:w="656" w:type="dxa"/>
          </w:tcPr>
          <w:p w:rsidR="008F5E34" w:rsidRDefault="008F5E34" w:rsidP="008F5E34">
            <w:pPr>
              <w:pStyle w:val="NoSpacing"/>
              <w:jc w:val="center"/>
              <w:rPr>
                <w:sz w:val="22"/>
                <w:szCs w:val="22"/>
              </w:rPr>
            </w:pPr>
            <w:r>
              <w:rPr>
                <w:sz w:val="22"/>
                <w:szCs w:val="22"/>
              </w:rPr>
              <w:t>19.</w:t>
            </w:r>
          </w:p>
        </w:tc>
        <w:tc>
          <w:tcPr>
            <w:tcW w:w="3632" w:type="dxa"/>
          </w:tcPr>
          <w:p w:rsidR="008F5E34" w:rsidRDefault="008F5E34" w:rsidP="008F5E34">
            <w:pPr>
              <w:pStyle w:val="NoSpacing"/>
              <w:rPr>
                <w:sz w:val="22"/>
                <w:szCs w:val="22"/>
              </w:rPr>
            </w:pPr>
            <w:r>
              <w:rPr>
                <w:sz w:val="22"/>
                <w:szCs w:val="22"/>
              </w:rPr>
              <w:t>Eyewear, Edge Eyewear, Two Lens Kit, Clear/Tiger</w:t>
            </w:r>
          </w:p>
        </w:tc>
        <w:tc>
          <w:tcPr>
            <w:tcW w:w="571" w:type="dxa"/>
          </w:tcPr>
          <w:p w:rsidR="008F5E34" w:rsidRDefault="008F5E34" w:rsidP="008F5E34">
            <w:pPr>
              <w:pStyle w:val="NoSpacing"/>
              <w:jc w:val="center"/>
              <w:rPr>
                <w:sz w:val="22"/>
                <w:szCs w:val="22"/>
              </w:rPr>
            </w:pPr>
          </w:p>
          <w:p w:rsidR="008F5E34" w:rsidRDefault="008F5E34" w:rsidP="008F5E34">
            <w:pPr>
              <w:pStyle w:val="NoSpacing"/>
              <w:jc w:val="center"/>
              <w:rPr>
                <w:sz w:val="22"/>
                <w:szCs w:val="22"/>
              </w:rPr>
            </w:pPr>
            <w:r>
              <w:rPr>
                <w:sz w:val="22"/>
                <w:szCs w:val="22"/>
              </w:rPr>
              <w:t>4</w:t>
            </w:r>
          </w:p>
        </w:tc>
        <w:tc>
          <w:tcPr>
            <w:tcW w:w="654" w:type="dxa"/>
          </w:tcPr>
          <w:p w:rsidR="008F5E34" w:rsidRDefault="008F5E34" w:rsidP="008F5E34">
            <w:pPr>
              <w:pStyle w:val="NoSpacing"/>
              <w:rPr>
                <w:sz w:val="22"/>
                <w:szCs w:val="22"/>
              </w:rPr>
            </w:pPr>
          </w:p>
          <w:p w:rsidR="008F5E34" w:rsidRDefault="008F5E34" w:rsidP="008F5E34">
            <w:pPr>
              <w:pStyle w:val="NoSpacing"/>
              <w:rPr>
                <w:sz w:val="22"/>
                <w:szCs w:val="22"/>
              </w:rPr>
            </w:pPr>
            <w:r>
              <w:rPr>
                <w:sz w:val="22"/>
                <w:szCs w:val="22"/>
              </w:rPr>
              <w:t>Ea</w:t>
            </w:r>
          </w:p>
        </w:tc>
        <w:tc>
          <w:tcPr>
            <w:tcW w:w="1553" w:type="dxa"/>
          </w:tcPr>
          <w:p w:rsidR="008F5E34" w:rsidRDefault="008F5E34" w:rsidP="008F5E34">
            <w:pPr>
              <w:pStyle w:val="NoSpacing"/>
              <w:rPr>
                <w:sz w:val="22"/>
                <w:szCs w:val="22"/>
              </w:rPr>
            </w:pPr>
          </w:p>
          <w:p w:rsidR="008F5E34" w:rsidRPr="00810102" w:rsidRDefault="008F5E34" w:rsidP="008F5E34">
            <w:pPr>
              <w:pStyle w:val="NoSpacing"/>
              <w:rPr>
                <w:sz w:val="22"/>
                <w:szCs w:val="22"/>
              </w:rPr>
            </w:pPr>
            <w:r>
              <w:rPr>
                <w:sz w:val="22"/>
                <w:szCs w:val="22"/>
              </w:rPr>
              <w:t>$__________</w:t>
            </w:r>
          </w:p>
        </w:tc>
        <w:tc>
          <w:tcPr>
            <w:tcW w:w="1536" w:type="dxa"/>
          </w:tcPr>
          <w:p w:rsidR="008F5E34" w:rsidRDefault="008F5E34" w:rsidP="008F5E34">
            <w:pPr>
              <w:pStyle w:val="NoSpacing"/>
              <w:rPr>
                <w:sz w:val="22"/>
                <w:szCs w:val="22"/>
              </w:rPr>
            </w:pPr>
          </w:p>
          <w:p w:rsidR="008F5E34" w:rsidRPr="00810102" w:rsidRDefault="008F5E34" w:rsidP="008F5E34">
            <w:pPr>
              <w:pStyle w:val="NoSpacing"/>
              <w:rPr>
                <w:sz w:val="22"/>
                <w:szCs w:val="22"/>
              </w:rPr>
            </w:pPr>
            <w:r>
              <w:rPr>
                <w:sz w:val="22"/>
                <w:szCs w:val="22"/>
              </w:rPr>
              <w:t>$___________</w:t>
            </w:r>
          </w:p>
        </w:tc>
      </w:tr>
      <w:tr w:rsidR="008F5E34" w:rsidRPr="00810102" w:rsidTr="001D11D1">
        <w:tc>
          <w:tcPr>
            <w:tcW w:w="656" w:type="dxa"/>
          </w:tcPr>
          <w:p w:rsidR="008F5E34" w:rsidRDefault="008F5E34" w:rsidP="008F5E34">
            <w:pPr>
              <w:pStyle w:val="NoSpacing"/>
              <w:jc w:val="center"/>
              <w:rPr>
                <w:sz w:val="22"/>
                <w:szCs w:val="22"/>
              </w:rPr>
            </w:pPr>
            <w:r>
              <w:rPr>
                <w:sz w:val="22"/>
                <w:szCs w:val="22"/>
              </w:rPr>
              <w:t>20.</w:t>
            </w:r>
          </w:p>
        </w:tc>
        <w:tc>
          <w:tcPr>
            <w:tcW w:w="3632" w:type="dxa"/>
          </w:tcPr>
          <w:p w:rsidR="008F5E34" w:rsidRDefault="008F5E34" w:rsidP="008F5E34">
            <w:pPr>
              <w:pStyle w:val="NoSpacing"/>
              <w:rPr>
                <w:sz w:val="22"/>
                <w:szCs w:val="22"/>
              </w:rPr>
            </w:pPr>
            <w:r>
              <w:rPr>
                <w:sz w:val="22"/>
                <w:szCs w:val="22"/>
              </w:rPr>
              <w:t>Pouch, Blackhawk AMMO Dump Pourch Roll-Up, Item #37CL117MC</w:t>
            </w:r>
          </w:p>
        </w:tc>
        <w:tc>
          <w:tcPr>
            <w:tcW w:w="571" w:type="dxa"/>
          </w:tcPr>
          <w:p w:rsidR="008F5E34" w:rsidRDefault="008F5E34" w:rsidP="008F5E34">
            <w:pPr>
              <w:pStyle w:val="NoSpacing"/>
              <w:jc w:val="center"/>
              <w:rPr>
                <w:sz w:val="22"/>
                <w:szCs w:val="22"/>
              </w:rPr>
            </w:pPr>
          </w:p>
          <w:p w:rsidR="008F5E34" w:rsidRDefault="008F5E34" w:rsidP="008F5E34">
            <w:pPr>
              <w:pStyle w:val="NoSpacing"/>
              <w:jc w:val="center"/>
              <w:rPr>
                <w:sz w:val="22"/>
                <w:szCs w:val="22"/>
              </w:rPr>
            </w:pPr>
            <w:r>
              <w:rPr>
                <w:sz w:val="22"/>
                <w:szCs w:val="22"/>
              </w:rPr>
              <w:t>4</w:t>
            </w:r>
          </w:p>
        </w:tc>
        <w:tc>
          <w:tcPr>
            <w:tcW w:w="654" w:type="dxa"/>
          </w:tcPr>
          <w:p w:rsidR="008F5E34" w:rsidRDefault="008F5E34" w:rsidP="008F5E34">
            <w:pPr>
              <w:pStyle w:val="NoSpacing"/>
              <w:rPr>
                <w:sz w:val="22"/>
                <w:szCs w:val="22"/>
              </w:rPr>
            </w:pPr>
          </w:p>
          <w:p w:rsidR="008F5E34" w:rsidRDefault="008F5E34" w:rsidP="008F5E34">
            <w:pPr>
              <w:pStyle w:val="NoSpacing"/>
              <w:rPr>
                <w:sz w:val="22"/>
                <w:szCs w:val="22"/>
              </w:rPr>
            </w:pPr>
            <w:r>
              <w:rPr>
                <w:sz w:val="22"/>
                <w:szCs w:val="22"/>
              </w:rPr>
              <w:t>Ea</w:t>
            </w:r>
          </w:p>
        </w:tc>
        <w:tc>
          <w:tcPr>
            <w:tcW w:w="1553" w:type="dxa"/>
          </w:tcPr>
          <w:p w:rsidR="008F5E34" w:rsidRDefault="008F5E34" w:rsidP="008F5E34">
            <w:pPr>
              <w:pStyle w:val="NoSpacing"/>
              <w:rPr>
                <w:sz w:val="22"/>
                <w:szCs w:val="22"/>
              </w:rPr>
            </w:pPr>
          </w:p>
          <w:p w:rsidR="008F5E34" w:rsidRPr="00810102" w:rsidRDefault="008F5E34" w:rsidP="008F5E34">
            <w:pPr>
              <w:pStyle w:val="NoSpacing"/>
              <w:rPr>
                <w:sz w:val="22"/>
                <w:szCs w:val="22"/>
              </w:rPr>
            </w:pPr>
            <w:r>
              <w:rPr>
                <w:sz w:val="22"/>
                <w:szCs w:val="22"/>
              </w:rPr>
              <w:t>$__________</w:t>
            </w:r>
          </w:p>
        </w:tc>
        <w:tc>
          <w:tcPr>
            <w:tcW w:w="1536" w:type="dxa"/>
          </w:tcPr>
          <w:p w:rsidR="008F5E34" w:rsidRDefault="008F5E34" w:rsidP="008F5E34">
            <w:pPr>
              <w:pStyle w:val="NoSpacing"/>
              <w:rPr>
                <w:sz w:val="22"/>
                <w:szCs w:val="22"/>
              </w:rPr>
            </w:pPr>
          </w:p>
          <w:p w:rsidR="008F5E34" w:rsidRPr="00810102" w:rsidRDefault="008F5E34" w:rsidP="008F5E34">
            <w:pPr>
              <w:pStyle w:val="NoSpacing"/>
              <w:rPr>
                <w:sz w:val="22"/>
                <w:szCs w:val="22"/>
              </w:rPr>
            </w:pPr>
            <w:r>
              <w:rPr>
                <w:sz w:val="22"/>
                <w:szCs w:val="22"/>
              </w:rPr>
              <w:t>$___________</w:t>
            </w:r>
          </w:p>
        </w:tc>
      </w:tr>
    </w:tbl>
    <w:p w:rsidR="00C45598" w:rsidRDefault="00C45598" w:rsidP="00C45598">
      <w:pPr>
        <w:ind w:left="720"/>
        <w:rPr>
          <w:b/>
        </w:rPr>
      </w:pPr>
    </w:p>
    <w:p w:rsidR="00C45598" w:rsidRPr="00C45598" w:rsidRDefault="00C45598" w:rsidP="00C45598">
      <w:pPr>
        <w:ind w:left="720"/>
        <w:rPr>
          <w:b/>
        </w:rPr>
      </w:pPr>
    </w:p>
    <w:p w:rsidR="006A07D9" w:rsidRDefault="006A07D9" w:rsidP="006A07D9">
      <w:pPr>
        <w:jc w:val="both"/>
      </w:pPr>
    </w:p>
    <w:p w:rsidR="000E30E2" w:rsidRDefault="000E30E2" w:rsidP="006A07D9">
      <w:pPr>
        <w:jc w:val="center"/>
        <w:rPr>
          <w:b/>
          <w:sz w:val="28"/>
          <w:szCs w:val="28"/>
        </w:rPr>
      </w:pPr>
    </w:p>
    <w:p w:rsidR="008F5E34" w:rsidRDefault="008F5E34" w:rsidP="008F5E34">
      <w:pPr>
        <w:ind w:left="720"/>
        <w:rPr>
          <w:b/>
        </w:rPr>
      </w:pPr>
      <w:r>
        <w:rPr>
          <w:b/>
        </w:rPr>
        <w:t>Company Name:__________________________________________</w:t>
      </w:r>
    </w:p>
    <w:p w:rsidR="008F5E34" w:rsidRDefault="008F5E34" w:rsidP="008F5E34">
      <w:pPr>
        <w:ind w:left="720"/>
        <w:rPr>
          <w:b/>
        </w:rPr>
      </w:pPr>
    </w:p>
    <w:p w:rsidR="008F5E34" w:rsidRDefault="008F5E34" w:rsidP="008F5E34">
      <w:pPr>
        <w:ind w:left="720"/>
        <w:rPr>
          <w:b/>
        </w:rPr>
      </w:pPr>
      <w:r>
        <w:rPr>
          <w:b/>
        </w:rPr>
        <w:t>Authorized Signature:______________________________________</w:t>
      </w:r>
    </w:p>
    <w:p w:rsidR="008F5E34" w:rsidRDefault="008F5E34" w:rsidP="008F5E34">
      <w:pPr>
        <w:ind w:left="720"/>
        <w:rPr>
          <w:b/>
        </w:rPr>
      </w:pPr>
    </w:p>
    <w:p w:rsidR="008F5E34" w:rsidRDefault="008F5E34" w:rsidP="008F5E34">
      <w:pPr>
        <w:ind w:left="720"/>
        <w:rPr>
          <w:b/>
        </w:rPr>
      </w:pPr>
      <w:r>
        <w:rPr>
          <w:b/>
        </w:rPr>
        <w:t>Email Address:____________________________________________</w:t>
      </w:r>
    </w:p>
    <w:p w:rsidR="000E30E2" w:rsidRDefault="000E30E2" w:rsidP="006A07D9">
      <w:pPr>
        <w:jc w:val="center"/>
        <w:rPr>
          <w:b/>
          <w:sz w:val="28"/>
          <w:szCs w:val="28"/>
        </w:rPr>
      </w:pPr>
    </w:p>
    <w:p w:rsidR="000E30E2" w:rsidRDefault="000E30E2" w:rsidP="006A07D9">
      <w:pPr>
        <w:jc w:val="center"/>
        <w:rPr>
          <w:b/>
          <w:sz w:val="28"/>
          <w:szCs w:val="28"/>
        </w:rPr>
      </w:pPr>
    </w:p>
    <w:p w:rsidR="00A44E85" w:rsidRDefault="00A44E85" w:rsidP="004F72C2">
      <w:pPr>
        <w:jc w:val="both"/>
      </w:pPr>
      <w:r>
        <w:t xml:space="preserve">Bid prices shall be </w:t>
      </w:r>
      <w:r w:rsidRPr="00297D3E">
        <w:rPr>
          <w:b/>
        </w:rPr>
        <w:t>DELIVERED PRICES (FOB Destination)</w:t>
      </w:r>
      <w:r>
        <w:t xml:space="preserve"> and are to include all shipping costs, including but not limited to, loading/unloading cost(s), fuel charge(s), fuel surcharge(s) energy surcharge(s) and environmental fee(s). The City will not be responsible for any demurrage charge(s).</w:t>
      </w:r>
    </w:p>
    <w:p w:rsidR="00A44E85" w:rsidRDefault="00A44E85" w:rsidP="004F72C2">
      <w:pPr>
        <w:jc w:val="both"/>
      </w:pPr>
    </w:p>
    <w:p w:rsidR="00A44E85" w:rsidRPr="00297D3E" w:rsidRDefault="00A44E85" w:rsidP="004F72C2">
      <w:pPr>
        <w:jc w:val="both"/>
        <w:rPr>
          <w:b/>
        </w:rPr>
      </w:pPr>
      <w:r w:rsidRPr="00297D3E">
        <w:rPr>
          <w:b/>
        </w:rPr>
        <w:t>BID AWARD</w:t>
      </w:r>
    </w:p>
    <w:p w:rsidR="00A44E85" w:rsidRDefault="00A44E85" w:rsidP="004F72C2">
      <w:pPr>
        <w:jc w:val="both"/>
      </w:pPr>
      <w:r>
        <w:t xml:space="preserve">Award </w:t>
      </w:r>
      <w:r w:rsidR="00C45598">
        <w:t>will</w:t>
      </w:r>
      <w:r>
        <w:t xml:space="preserve"> be made in whole</w:t>
      </w:r>
      <w:r w:rsidR="00C34625">
        <w:t xml:space="preserve"> or in part</w:t>
      </w:r>
      <w:r w:rsidR="00C45598">
        <w:t>.</w:t>
      </w:r>
      <w:r>
        <w:t xml:space="preserve"> Award will be made in the best interest of the City.</w:t>
      </w: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All invoices must reference the  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A44E85" w:rsidRPr="00CF004B" w:rsidRDefault="00A44E85" w:rsidP="004F72C2">
      <w:pPr>
        <w:jc w:val="both"/>
        <w:rPr>
          <w:b/>
        </w:rPr>
      </w:pPr>
      <w:r w:rsidRPr="00CF004B">
        <w:rPr>
          <w:b/>
        </w:rPr>
        <w:t xml:space="preserve">SUBSTITUTIONS </w:t>
      </w:r>
    </w:p>
    <w:p w:rsidR="00A44E85" w:rsidRDefault="00A44E85" w:rsidP="004F72C2">
      <w:pPr>
        <w:jc w:val="both"/>
      </w:pPr>
      <w:r>
        <w:t>Manufacturer brands and styles are specified to indicate minimum acceptable quality levels. Substitutions of equal or better quality will be considered</w:t>
      </w:r>
      <w:r w:rsidR="00506B6E">
        <w:t xml:space="preserve">, please provide substitutions </w:t>
      </w:r>
      <w:r w:rsidR="00C45598">
        <w:t>information</w:t>
      </w:r>
      <w:r>
        <w:t>.</w:t>
      </w:r>
    </w:p>
    <w:p w:rsidR="00A44E85" w:rsidRDefault="00A44E85" w:rsidP="004F72C2">
      <w:pPr>
        <w:jc w:val="both"/>
      </w:pPr>
    </w:p>
    <w:p w:rsidR="00A44E85" w:rsidRDefault="00A44E85" w:rsidP="004F72C2">
      <w:pPr>
        <w:jc w:val="both"/>
      </w:pPr>
      <w:r>
        <w:t>For bid consideration, brand(s) and style(s) being offered must be annotated on the bid. Include in the bid package product specification sheets, descriptive literature or catalog descriptions when bidding manufacturer brand(s)</w:t>
      </w:r>
      <w:r w:rsidR="00CF004B">
        <w:t>/</w:t>
      </w:r>
      <w:r>
        <w:t>styles(s) other than that/those specified.</w:t>
      </w: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C74531" w:rsidRDefault="00C74531" w:rsidP="00C74531">
      <w:pPr>
        <w:jc w:val="center"/>
        <w:rPr>
          <w:b/>
          <w:bCs/>
          <w:sz w:val="28"/>
        </w:rPr>
      </w:pPr>
      <w:bookmarkStart w:id="3" w:name="_GoBack"/>
      <w:bookmarkEnd w:id="3"/>
      <w:r>
        <w:rPr>
          <w:b/>
          <w:bCs/>
          <w:sz w:val="28"/>
        </w:rPr>
        <w:lastRenderedPageBreak/>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160786" w:rsidRDefault="00160786" w:rsidP="00160786">
      <w:pPr>
        <w:rPr>
          <w:sz w:val="16"/>
          <w:szCs w:val="16"/>
        </w:rPr>
      </w:pPr>
    </w:p>
    <w:p w:rsidR="004D7279" w:rsidRDefault="004D7279" w:rsidP="004D7279">
      <w:pPr>
        <w:ind w:left="360"/>
        <w:rPr>
          <w:sz w:val="16"/>
          <w:szCs w:val="16"/>
        </w:rPr>
      </w:pPr>
    </w:p>
    <w:p w:rsidR="00F524E4" w:rsidRDefault="00F524E4" w:rsidP="004D7279">
      <w:pPr>
        <w:ind w:left="360"/>
        <w:rPr>
          <w:sz w:val="16"/>
          <w:szCs w:val="16"/>
        </w:rPr>
      </w:pPr>
    </w:p>
    <w:p w:rsidR="00F524E4" w:rsidRDefault="00F524E4" w:rsidP="004D7279">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D97459">
        <w:rPr>
          <w:b/>
        </w:rPr>
        <w:t>66</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to do everything necessary for the fulfillment of this contract. We agree any addenda received are part of the bid documents. (If no addenda has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6B" w:rsidRDefault="00EC776B">
      <w:r>
        <w:separator/>
      </w:r>
    </w:p>
  </w:endnote>
  <w:endnote w:type="continuationSeparator" w:id="0">
    <w:p w:rsidR="00EC776B" w:rsidRDefault="00EC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6B" w:rsidRDefault="00EC7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C776B" w:rsidRDefault="00EC77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6B" w:rsidRDefault="00EC776B">
    <w:pPr>
      <w:pStyle w:val="Footer"/>
    </w:pPr>
    <w:r>
      <w:t xml:space="preserve">#17-B0066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D4207A">
          <w:rPr>
            <w:noProof/>
          </w:rPr>
          <w:t>17</w:t>
        </w:r>
        <w:r>
          <w:rPr>
            <w:noProof/>
          </w:rPr>
          <w:fldChar w:fldCharType="end"/>
        </w:r>
      </w:sdtContent>
    </w:sdt>
  </w:p>
  <w:p w:rsidR="00EC776B" w:rsidRPr="00333E78" w:rsidRDefault="00EC776B"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6B" w:rsidRDefault="00EC776B">
    <w:pPr>
      <w:pStyle w:val="Footer"/>
    </w:pPr>
    <w:r>
      <w:t>17-B0055</w:t>
    </w:r>
  </w:p>
  <w:p w:rsidR="00EC776B" w:rsidRDefault="00EC77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6B" w:rsidRDefault="00EC776B">
      <w:r>
        <w:separator/>
      </w:r>
    </w:p>
  </w:footnote>
  <w:footnote w:type="continuationSeparator" w:id="0">
    <w:p w:rsidR="00EC776B" w:rsidRDefault="00EC77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6"/>
  </w:num>
  <w:num w:numId="3">
    <w:abstractNumId w:val="2"/>
  </w:num>
  <w:num w:numId="4">
    <w:abstractNumId w:val="34"/>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5"/>
  </w:num>
  <w:num w:numId="13">
    <w:abstractNumId w:val="18"/>
  </w:num>
  <w:num w:numId="14">
    <w:abstractNumId w:val="1"/>
  </w:num>
  <w:num w:numId="15">
    <w:abstractNumId w:val="9"/>
  </w:num>
  <w:num w:numId="16">
    <w:abstractNumId w:val="27"/>
  </w:num>
  <w:num w:numId="17">
    <w:abstractNumId w:val="10"/>
  </w:num>
  <w:num w:numId="18">
    <w:abstractNumId w:val="35"/>
  </w:num>
  <w:num w:numId="19">
    <w:abstractNumId w:val="24"/>
  </w:num>
  <w:num w:numId="20">
    <w:abstractNumId w:val="12"/>
  </w:num>
  <w:num w:numId="21">
    <w:abstractNumId w:val="16"/>
  </w:num>
  <w:num w:numId="22">
    <w:abstractNumId w:val="11"/>
  </w:num>
  <w:num w:numId="23">
    <w:abstractNumId w:val="22"/>
  </w:num>
  <w:num w:numId="24">
    <w:abstractNumId w:val="29"/>
  </w:num>
  <w:num w:numId="25">
    <w:abstractNumId w:val="15"/>
  </w:num>
  <w:num w:numId="26">
    <w:abstractNumId w:val="28"/>
  </w:num>
  <w:num w:numId="27">
    <w:abstractNumId w:val="17"/>
  </w:num>
  <w:num w:numId="28">
    <w:abstractNumId w:val="31"/>
  </w:num>
  <w:num w:numId="29">
    <w:abstractNumId w:val="30"/>
  </w:num>
  <w:num w:numId="30">
    <w:abstractNumId w:val="4"/>
  </w:num>
  <w:num w:numId="31">
    <w:abstractNumId w:val="3"/>
  </w:num>
  <w:num w:numId="32">
    <w:abstractNumId w:val="0"/>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C571B"/>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0E4E-D495-4DF9-BA0F-7F8C44D1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7663</Words>
  <Characters>45460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8</cp:revision>
  <cp:lastPrinted>2017-04-26T19:03:00Z</cp:lastPrinted>
  <dcterms:created xsi:type="dcterms:W3CDTF">2017-05-17T15:40:00Z</dcterms:created>
  <dcterms:modified xsi:type="dcterms:W3CDTF">2017-05-17T18:13:00Z</dcterms:modified>
</cp:coreProperties>
</file>