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AC7" w:rsidRDefault="00AE6AF3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SPECIFICATIONS OF SCOPE OF WORK</w:t>
      </w:r>
    </w:p>
    <w:p w:rsidR="008850A0" w:rsidRDefault="008850A0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87D72" w:rsidRPr="00787D72" w:rsidRDefault="00787D72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Outdoor</w:t>
      </w:r>
      <w:r w:rsidR="008850A0">
        <w:rPr>
          <w:rFonts w:cstheme="minorHAnsi"/>
          <w:b/>
          <w:sz w:val="24"/>
          <w:szCs w:val="24"/>
        </w:rPr>
        <w:t xml:space="preserve"> Sports Court</w:t>
      </w:r>
      <w:r>
        <w:rPr>
          <w:rFonts w:cstheme="minorHAnsi"/>
          <w:b/>
          <w:sz w:val="24"/>
          <w:szCs w:val="24"/>
        </w:rPr>
        <w:t xml:space="preserve"> Tile System</w:t>
      </w:r>
    </w:p>
    <w:p w:rsidR="00500110" w:rsidRDefault="0050011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AE6AF3" w:rsidRDefault="00AE6AF3" w:rsidP="00500110">
      <w:pPr>
        <w:spacing w:after="0" w:line="240" w:lineRule="auto"/>
        <w:rPr>
          <w:rFonts w:cstheme="minorHAnsi"/>
          <w:sz w:val="24"/>
          <w:szCs w:val="24"/>
        </w:rPr>
      </w:pPr>
      <w:r w:rsidRPr="00787D72">
        <w:rPr>
          <w:rFonts w:cstheme="minorHAnsi"/>
          <w:sz w:val="24"/>
          <w:szCs w:val="24"/>
        </w:rPr>
        <w:t xml:space="preserve">The City of Manchester is requesting bids </w:t>
      </w:r>
      <w:r w:rsidR="00787D72">
        <w:rPr>
          <w:rFonts w:cstheme="minorHAnsi"/>
          <w:sz w:val="24"/>
          <w:szCs w:val="24"/>
        </w:rPr>
        <w:t>for an outdoor</w:t>
      </w:r>
      <w:r w:rsidR="002669E2">
        <w:rPr>
          <w:rFonts w:cstheme="minorHAnsi"/>
          <w:sz w:val="24"/>
          <w:szCs w:val="24"/>
        </w:rPr>
        <w:t xml:space="preserve"> sports court</w:t>
      </w:r>
      <w:r w:rsidR="00787D72">
        <w:rPr>
          <w:rFonts w:cstheme="minorHAnsi"/>
          <w:sz w:val="24"/>
          <w:szCs w:val="24"/>
        </w:rPr>
        <w:t xml:space="preserve"> tile system</w:t>
      </w:r>
      <w:r w:rsidR="007C1406">
        <w:rPr>
          <w:rFonts w:cstheme="minorHAnsi"/>
          <w:sz w:val="24"/>
          <w:szCs w:val="24"/>
        </w:rPr>
        <w:t xml:space="preserve"> that will allow users the ability to play</w:t>
      </w:r>
      <w:r w:rsidR="00787D72">
        <w:rPr>
          <w:rFonts w:cstheme="minorHAnsi"/>
          <w:sz w:val="24"/>
          <w:szCs w:val="24"/>
        </w:rPr>
        <w:t xml:space="preserve"> basketball</w:t>
      </w:r>
      <w:r w:rsidR="007C1406">
        <w:rPr>
          <w:rFonts w:cstheme="minorHAnsi"/>
          <w:sz w:val="24"/>
          <w:szCs w:val="24"/>
        </w:rPr>
        <w:t>, pickleball, and four</w:t>
      </w:r>
      <w:r w:rsidR="008D579C">
        <w:rPr>
          <w:rFonts w:cstheme="minorHAnsi"/>
          <w:sz w:val="24"/>
          <w:szCs w:val="24"/>
        </w:rPr>
        <w:t xml:space="preserve"> </w:t>
      </w:r>
      <w:proofErr w:type="gramStart"/>
      <w:r w:rsidR="007C1406">
        <w:rPr>
          <w:rFonts w:cstheme="minorHAnsi"/>
          <w:sz w:val="24"/>
          <w:szCs w:val="24"/>
        </w:rPr>
        <w:t>square</w:t>
      </w:r>
      <w:proofErr w:type="gramEnd"/>
      <w:r w:rsidR="007C1406">
        <w:rPr>
          <w:rFonts w:cstheme="minorHAnsi"/>
          <w:sz w:val="24"/>
          <w:szCs w:val="24"/>
        </w:rPr>
        <w:t>.</w:t>
      </w:r>
    </w:p>
    <w:p w:rsidR="00F303E0" w:rsidRPr="00787D72" w:rsidRDefault="00F303E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AE6AF3" w:rsidRPr="00787D72" w:rsidRDefault="00AE6AF3" w:rsidP="00500110">
      <w:pPr>
        <w:spacing w:after="0" w:line="240" w:lineRule="auto"/>
        <w:rPr>
          <w:rFonts w:cstheme="minorHAnsi"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Location:</w:t>
      </w:r>
    </w:p>
    <w:p w:rsidR="00F303E0" w:rsidRDefault="00F303E0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Delivery to </w:t>
      </w:r>
      <w:r w:rsidR="00D51A38">
        <w:rPr>
          <w:rFonts w:cstheme="minorHAnsi"/>
          <w:sz w:val="24"/>
          <w:szCs w:val="24"/>
        </w:rPr>
        <w:t xml:space="preserve">328 N. Waite St. </w:t>
      </w:r>
      <w:r w:rsidR="00AE6AF3" w:rsidRPr="00787D72">
        <w:rPr>
          <w:rFonts w:cstheme="minorHAnsi"/>
          <w:sz w:val="24"/>
          <w:szCs w:val="24"/>
        </w:rPr>
        <w:t>Manchester TN 37355.  Telephone number is 931-728-0273</w:t>
      </w:r>
      <w:r w:rsidR="00A021FC">
        <w:rPr>
          <w:rFonts w:cstheme="minorHAnsi"/>
          <w:sz w:val="24"/>
          <w:szCs w:val="24"/>
        </w:rPr>
        <w:t xml:space="preserve">. </w:t>
      </w:r>
    </w:p>
    <w:p w:rsidR="00D51A38" w:rsidRPr="00787D72" w:rsidRDefault="00D51A38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AE6AF3" w:rsidRPr="00787D72" w:rsidRDefault="00AE6AF3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</w:t>
      </w:r>
      <w:r w:rsidR="00500110">
        <w:rPr>
          <w:rFonts w:cstheme="minorHAnsi"/>
          <w:b/>
          <w:sz w:val="24"/>
          <w:szCs w:val="24"/>
        </w:rPr>
        <w:t>cope of Work</w:t>
      </w:r>
      <w:r w:rsidRPr="00787D72">
        <w:rPr>
          <w:rFonts w:cstheme="minorHAnsi"/>
          <w:b/>
          <w:sz w:val="24"/>
          <w:szCs w:val="24"/>
        </w:rPr>
        <w:t>:</w:t>
      </w:r>
    </w:p>
    <w:p w:rsidR="00F303E0" w:rsidRPr="00F303E0" w:rsidRDefault="00F303E0" w:rsidP="00500110">
      <w:pPr>
        <w:spacing w:after="0" w:line="240" w:lineRule="auto"/>
        <w:rPr>
          <w:rFonts w:cstheme="minorHAnsi"/>
          <w:sz w:val="24"/>
          <w:szCs w:val="24"/>
        </w:rPr>
      </w:pPr>
      <w:r w:rsidRPr="00F303E0">
        <w:rPr>
          <w:rFonts w:cstheme="minorHAnsi"/>
          <w:sz w:val="24"/>
          <w:szCs w:val="24"/>
        </w:rPr>
        <w:t>Furnishing of materials</w:t>
      </w:r>
      <w:r w:rsidR="007E283A">
        <w:rPr>
          <w:rFonts w:cstheme="minorHAnsi"/>
          <w:sz w:val="24"/>
          <w:szCs w:val="24"/>
        </w:rPr>
        <w:t xml:space="preserve"> </w:t>
      </w:r>
      <w:r w:rsidRPr="00F303E0">
        <w:rPr>
          <w:rFonts w:cstheme="minorHAnsi"/>
          <w:sz w:val="24"/>
          <w:szCs w:val="24"/>
        </w:rPr>
        <w:t xml:space="preserve">for </w:t>
      </w:r>
      <w:r w:rsidR="007E283A">
        <w:rPr>
          <w:rFonts w:cstheme="minorHAnsi"/>
          <w:sz w:val="24"/>
          <w:szCs w:val="24"/>
        </w:rPr>
        <w:t>an outdoor sports court tile system.  T</w:t>
      </w:r>
      <w:r w:rsidRPr="00F303E0">
        <w:rPr>
          <w:rFonts w:cstheme="minorHAnsi"/>
          <w:sz w:val="24"/>
          <w:szCs w:val="24"/>
        </w:rPr>
        <w:t>he flooring</w:t>
      </w:r>
      <w:r w:rsidR="007E283A">
        <w:rPr>
          <w:rFonts w:cstheme="minorHAnsi"/>
          <w:sz w:val="24"/>
          <w:szCs w:val="24"/>
        </w:rPr>
        <w:t xml:space="preserve"> system shall be</w:t>
      </w:r>
      <w:r w:rsidRPr="00F303E0">
        <w:rPr>
          <w:rFonts w:cstheme="minorHAnsi"/>
          <w:sz w:val="24"/>
          <w:szCs w:val="24"/>
        </w:rPr>
        <w:t xml:space="preserve"> a modular</w:t>
      </w:r>
      <w:r>
        <w:rPr>
          <w:rFonts w:cstheme="minorHAnsi"/>
          <w:sz w:val="24"/>
          <w:szCs w:val="24"/>
        </w:rPr>
        <w:t xml:space="preserve"> </w:t>
      </w:r>
      <w:r w:rsidRPr="00F303E0">
        <w:rPr>
          <w:rFonts w:cstheme="minorHAnsi"/>
          <w:sz w:val="24"/>
          <w:szCs w:val="24"/>
        </w:rPr>
        <w:t xml:space="preserve">interlocking suspended plastic tile system. </w:t>
      </w:r>
      <w:r w:rsidR="007E283A">
        <w:rPr>
          <w:rFonts w:cstheme="minorHAnsi"/>
          <w:sz w:val="24"/>
          <w:szCs w:val="24"/>
        </w:rPr>
        <w:t xml:space="preserve"> The flooring system shall i</w:t>
      </w:r>
      <w:r w:rsidR="007E283A" w:rsidRPr="00F303E0">
        <w:rPr>
          <w:rFonts w:cstheme="minorHAnsi"/>
          <w:sz w:val="24"/>
          <w:szCs w:val="24"/>
        </w:rPr>
        <w:t>nclude</w:t>
      </w:r>
      <w:r w:rsidRPr="00F303E0">
        <w:rPr>
          <w:rFonts w:cstheme="minorHAnsi"/>
          <w:sz w:val="24"/>
          <w:szCs w:val="24"/>
        </w:rPr>
        <w:t xml:space="preserve"> installation</w:t>
      </w:r>
      <w:r w:rsidR="00CE24E7">
        <w:rPr>
          <w:rFonts w:cstheme="minorHAnsi"/>
          <w:sz w:val="24"/>
          <w:szCs w:val="24"/>
        </w:rPr>
        <w:t xml:space="preserve"> instructions</w:t>
      </w:r>
      <w:r w:rsidRPr="00F303E0">
        <w:rPr>
          <w:rFonts w:cstheme="minorHAnsi"/>
          <w:sz w:val="24"/>
          <w:szCs w:val="24"/>
        </w:rPr>
        <w:t>, application of game lines, and</w:t>
      </w:r>
      <w:r>
        <w:rPr>
          <w:rFonts w:cstheme="minorHAnsi"/>
          <w:sz w:val="24"/>
          <w:szCs w:val="24"/>
        </w:rPr>
        <w:t xml:space="preserve"> </w:t>
      </w:r>
      <w:r w:rsidRPr="00F303E0">
        <w:rPr>
          <w:rFonts w:cstheme="minorHAnsi"/>
          <w:sz w:val="24"/>
          <w:szCs w:val="24"/>
        </w:rPr>
        <w:t>maintenance instructions for the flooring system.</w:t>
      </w:r>
      <w:r w:rsidR="008E4C33">
        <w:rPr>
          <w:rFonts w:cstheme="minorHAnsi"/>
          <w:sz w:val="24"/>
          <w:szCs w:val="24"/>
        </w:rPr>
        <w:t xml:space="preserve">  The flooring system shall utilize four different color tiles to construct two four square playing surface</w:t>
      </w:r>
      <w:r w:rsidR="006641E5">
        <w:rPr>
          <w:rFonts w:cstheme="minorHAnsi"/>
          <w:sz w:val="24"/>
          <w:szCs w:val="24"/>
        </w:rPr>
        <w:t>s</w:t>
      </w:r>
      <w:r w:rsidR="008E4C33">
        <w:rPr>
          <w:rFonts w:cstheme="minorHAnsi"/>
          <w:sz w:val="24"/>
          <w:szCs w:val="24"/>
        </w:rPr>
        <w:t xml:space="preserve"> and not utilize paint to make the </w:t>
      </w:r>
      <w:proofErr w:type="gramStart"/>
      <w:r w:rsidR="008E4C33">
        <w:rPr>
          <w:rFonts w:cstheme="minorHAnsi"/>
          <w:sz w:val="24"/>
          <w:szCs w:val="24"/>
        </w:rPr>
        <w:t>four square</w:t>
      </w:r>
      <w:proofErr w:type="gramEnd"/>
      <w:r w:rsidR="008E4C33">
        <w:rPr>
          <w:rFonts w:cstheme="minorHAnsi"/>
          <w:sz w:val="24"/>
          <w:szCs w:val="24"/>
        </w:rPr>
        <w:t xml:space="preserve"> playing surface.  The</w:t>
      </w:r>
      <w:r w:rsidR="006641E5">
        <w:rPr>
          <w:rFonts w:cstheme="minorHAnsi"/>
          <w:sz w:val="24"/>
          <w:szCs w:val="24"/>
        </w:rPr>
        <w:t xml:space="preserve"> flooring system</w:t>
      </w:r>
      <w:r w:rsidR="008E4C33">
        <w:rPr>
          <w:rFonts w:cstheme="minorHAnsi"/>
          <w:sz w:val="24"/>
          <w:szCs w:val="24"/>
        </w:rPr>
        <w:t xml:space="preserve"> shall have two pickleball courts</w:t>
      </w:r>
      <w:r w:rsidR="006641E5">
        <w:rPr>
          <w:rFonts w:cstheme="minorHAnsi"/>
          <w:sz w:val="24"/>
          <w:szCs w:val="24"/>
        </w:rPr>
        <w:t xml:space="preserve"> and lines for a high school size basketball court</w:t>
      </w:r>
      <w:r w:rsidR="008E4C33">
        <w:rPr>
          <w:rFonts w:cstheme="minorHAnsi"/>
          <w:sz w:val="24"/>
          <w:szCs w:val="24"/>
        </w:rPr>
        <w:t xml:space="preserve"> painted on the surface.</w:t>
      </w:r>
      <w:r w:rsidR="006641E5">
        <w:rPr>
          <w:rFonts w:cstheme="minorHAnsi"/>
          <w:sz w:val="24"/>
          <w:szCs w:val="24"/>
        </w:rPr>
        <w:t xml:space="preserve">  </w:t>
      </w:r>
      <w:r w:rsidR="008E4C33">
        <w:rPr>
          <w:rFonts w:cstheme="minorHAnsi"/>
          <w:sz w:val="24"/>
          <w:szCs w:val="24"/>
        </w:rPr>
        <w:t xml:space="preserve">The </w:t>
      </w:r>
      <w:r w:rsidR="00DE4DA6">
        <w:rPr>
          <w:rFonts w:cstheme="minorHAnsi"/>
          <w:sz w:val="24"/>
          <w:szCs w:val="24"/>
        </w:rPr>
        <w:t xml:space="preserve">flooring system </w:t>
      </w:r>
      <w:r w:rsidR="008E4C33">
        <w:rPr>
          <w:rFonts w:cstheme="minorHAnsi"/>
          <w:sz w:val="24"/>
          <w:szCs w:val="24"/>
        </w:rPr>
        <w:t>shall</w:t>
      </w:r>
      <w:r w:rsidR="00DE4DA6">
        <w:rPr>
          <w:rFonts w:cstheme="minorHAnsi"/>
          <w:sz w:val="24"/>
          <w:szCs w:val="24"/>
        </w:rPr>
        <w:t xml:space="preserve"> be a size</w:t>
      </w:r>
      <w:r w:rsidR="006641E5">
        <w:rPr>
          <w:rFonts w:cstheme="minorHAnsi"/>
          <w:sz w:val="24"/>
          <w:szCs w:val="24"/>
        </w:rPr>
        <w:t xml:space="preserve"> of</w:t>
      </w:r>
      <w:r w:rsidR="00DE4DA6">
        <w:rPr>
          <w:rFonts w:cstheme="minorHAnsi"/>
          <w:sz w:val="24"/>
          <w:szCs w:val="24"/>
        </w:rPr>
        <w:t xml:space="preserve"> </w:t>
      </w:r>
      <w:r w:rsidR="006641E5">
        <w:rPr>
          <w:rFonts w:cstheme="minorHAnsi"/>
          <w:sz w:val="24"/>
          <w:szCs w:val="24"/>
        </w:rPr>
        <w:t>a</w:t>
      </w:r>
      <w:r w:rsidR="008E4C33">
        <w:rPr>
          <w:rFonts w:cstheme="minorHAnsi"/>
          <w:sz w:val="24"/>
          <w:szCs w:val="24"/>
        </w:rPr>
        <w:t xml:space="preserve"> high school regulation</w:t>
      </w:r>
      <w:r w:rsidR="00DE4DA6">
        <w:rPr>
          <w:rFonts w:cstheme="minorHAnsi"/>
          <w:sz w:val="24"/>
          <w:szCs w:val="24"/>
        </w:rPr>
        <w:t xml:space="preserve"> basketball court (50’0” x 84’0”)</w:t>
      </w:r>
      <w:r w:rsidR="006641E5">
        <w:rPr>
          <w:rFonts w:cstheme="minorHAnsi"/>
          <w:sz w:val="24"/>
          <w:szCs w:val="24"/>
        </w:rPr>
        <w:t>.</w:t>
      </w:r>
    </w:p>
    <w:p w:rsidR="00F303E0" w:rsidRDefault="00F303E0" w:rsidP="0050011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00110" w:rsidRDefault="00500110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Warranties:</w:t>
      </w:r>
    </w:p>
    <w:p w:rsidR="00500110" w:rsidRPr="00500110" w:rsidRDefault="00500110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500110">
        <w:rPr>
          <w:rFonts w:cstheme="minorHAnsi"/>
          <w:sz w:val="24"/>
          <w:szCs w:val="24"/>
        </w:rPr>
        <w:t>ourt tiles shall be warranted by the manufacturer for any defects in materials</w:t>
      </w:r>
    </w:p>
    <w:p w:rsidR="00500110" w:rsidRDefault="00500110" w:rsidP="00500110">
      <w:pPr>
        <w:spacing w:after="0" w:line="240" w:lineRule="auto"/>
        <w:rPr>
          <w:rFonts w:cstheme="minorHAnsi"/>
          <w:sz w:val="24"/>
          <w:szCs w:val="24"/>
        </w:rPr>
      </w:pPr>
      <w:r w:rsidRPr="00500110">
        <w:rPr>
          <w:rFonts w:cstheme="minorHAnsi"/>
          <w:sz w:val="24"/>
          <w:szCs w:val="24"/>
        </w:rPr>
        <w:t>and workmanship for a period of 5 years from the date of purchase</w:t>
      </w:r>
      <w:r w:rsidR="003A7030">
        <w:rPr>
          <w:rFonts w:cstheme="minorHAnsi"/>
          <w:sz w:val="24"/>
          <w:szCs w:val="24"/>
        </w:rPr>
        <w:t xml:space="preserve"> and will be replaced at no cost.  For 6 – 8 years the </w:t>
      </w:r>
      <w:r w:rsidR="00A021FC">
        <w:rPr>
          <w:rFonts w:cstheme="minorHAnsi"/>
          <w:sz w:val="24"/>
          <w:szCs w:val="24"/>
        </w:rPr>
        <w:t>manufacturer</w:t>
      </w:r>
      <w:r w:rsidR="003A7030">
        <w:rPr>
          <w:rFonts w:cstheme="minorHAnsi"/>
          <w:sz w:val="24"/>
          <w:szCs w:val="24"/>
        </w:rPr>
        <w:t xml:space="preserve"> will provide a 50% discount off MSRP and then will provide a 30% discount for life for any defects in materials and workmanship.  </w:t>
      </w:r>
      <w:r w:rsidR="00A021FC">
        <w:rPr>
          <w:rFonts w:cstheme="minorHAnsi"/>
          <w:sz w:val="24"/>
          <w:szCs w:val="24"/>
        </w:rPr>
        <w:t>Shipping for replacement of defective materials and workmanship will be paid for by the manufacturer for 5 years from the date of purchase.</w:t>
      </w:r>
      <w:r w:rsidR="00D51A38">
        <w:rPr>
          <w:rFonts w:cstheme="minorHAnsi"/>
          <w:sz w:val="24"/>
          <w:szCs w:val="24"/>
        </w:rPr>
        <w:t xml:space="preserve">  Replacement of tiles provided manufacturer can exclude labor to complete the work.</w:t>
      </w:r>
    </w:p>
    <w:p w:rsidR="002F5D90" w:rsidRDefault="002F5D9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2F5D90" w:rsidRDefault="002F5D90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Shipping/Installation:</w:t>
      </w:r>
    </w:p>
    <w:p w:rsidR="007E283A" w:rsidRPr="007E283A" w:rsidRDefault="002F5D90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shipping fees s</w:t>
      </w:r>
      <w:r w:rsidR="00146A50">
        <w:rPr>
          <w:rFonts w:cstheme="minorHAnsi"/>
          <w:sz w:val="24"/>
          <w:szCs w:val="24"/>
        </w:rPr>
        <w:t>hall</w:t>
      </w:r>
      <w:r>
        <w:rPr>
          <w:rFonts w:cstheme="minorHAnsi"/>
          <w:sz w:val="24"/>
          <w:szCs w:val="24"/>
        </w:rPr>
        <w:t xml:space="preserve"> be included.</w:t>
      </w:r>
    </w:p>
    <w:p w:rsidR="008850A0" w:rsidRDefault="008850A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8850A0" w:rsidRDefault="00BE1303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Product:</w:t>
      </w:r>
    </w:p>
    <w:p w:rsidR="00BE1303" w:rsidRPr="00BE1303" w:rsidRDefault="00BE1303" w:rsidP="00BE13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E1303">
        <w:rPr>
          <w:rFonts w:cstheme="minorHAnsi"/>
          <w:sz w:val="24"/>
          <w:szCs w:val="24"/>
        </w:rPr>
        <w:t>Court Tile Materials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F5D90">
        <w:rPr>
          <w:rFonts w:cstheme="minorHAnsi"/>
          <w:sz w:val="24"/>
          <w:szCs w:val="24"/>
        </w:rPr>
        <w:t>Description – An injection molded, high impact plastic tile supplied in preassembled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4 units by 4 units sheets.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Size – 10.03” x 10.03” x 3/4” thick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Material – Specially blended high impact polypropylene copolymer. UV stabilizer and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 xml:space="preserve">anti-oxidant additives </w:t>
      </w:r>
      <w:r w:rsidR="007E283A">
        <w:rPr>
          <w:rFonts w:cstheme="minorHAnsi"/>
          <w:sz w:val="24"/>
          <w:szCs w:val="24"/>
        </w:rPr>
        <w:t>shall be</w:t>
      </w:r>
      <w:r w:rsidRPr="00991045">
        <w:rPr>
          <w:rFonts w:cstheme="minorHAnsi"/>
          <w:sz w:val="24"/>
          <w:szCs w:val="24"/>
        </w:rPr>
        <w:t xml:space="preserve"> molded into each tile to insure protection against color fade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 xml:space="preserve">and plastic deterioration </w:t>
      </w:r>
      <w:r w:rsidR="007E283A">
        <w:rPr>
          <w:rFonts w:cstheme="minorHAnsi"/>
          <w:sz w:val="24"/>
          <w:szCs w:val="24"/>
        </w:rPr>
        <w:t>and</w:t>
      </w:r>
      <w:r w:rsidRPr="00991045">
        <w:rPr>
          <w:rFonts w:cstheme="minorHAnsi"/>
          <w:sz w:val="24"/>
          <w:szCs w:val="24"/>
        </w:rPr>
        <w:t xml:space="preserve"> oxidations. The tile </w:t>
      </w:r>
      <w:r w:rsidR="007E283A">
        <w:rPr>
          <w:rFonts w:cstheme="minorHAnsi"/>
          <w:sz w:val="24"/>
          <w:szCs w:val="24"/>
        </w:rPr>
        <w:t xml:space="preserve">shall </w:t>
      </w:r>
      <w:r w:rsidRPr="00991045">
        <w:rPr>
          <w:rFonts w:cstheme="minorHAnsi"/>
          <w:sz w:val="24"/>
          <w:szCs w:val="24"/>
        </w:rPr>
        <w:t>also have an anti-static additive which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reduces static buildup on players on</w:t>
      </w:r>
      <w:r w:rsidR="007E283A">
        <w:rPr>
          <w:rFonts w:cstheme="minorHAnsi"/>
          <w:sz w:val="24"/>
          <w:szCs w:val="24"/>
        </w:rPr>
        <w:t xml:space="preserve"> the</w:t>
      </w:r>
      <w:r w:rsidRPr="00991045">
        <w:rPr>
          <w:rFonts w:cstheme="minorHAnsi"/>
          <w:sz w:val="24"/>
          <w:szCs w:val="24"/>
        </w:rPr>
        <w:t xml:space="preserve"> court.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Surface Texture – Specially designed open grid that provides a high grip surface in all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weather conditions.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lastRenderedPageBreak/>
        <w:t>Tile Interlocking Mechanism – The tile interlocking system</w:t>
      </w:r>
      <w:r w:rsidR="007E283A">
        <w:rPr>
          <w:rFonts w:cstheme="minorHAnsi"/>
          <w:sz w:val="24"/>
          <w:szCs w:val="24"/>
        </w:rPr>
        <w:t xml:space="preserve"> shall be</w:t>
      </w:r>
      <w:r w:rsidRPr="00991045">
        <w:rPr>
          <w:rFonts w:cstheme="minorHAnsi"/>
          <w:sz w:val="24"/>
          <w:szCs w:val="24"/>
        </w:rPr>
        <w:t xml:space="preserve"> designed to allow for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 xml:space="preserve">thermal expansion and contraction without causing the surface to buckle. </w:t>
      </w:r>
      <w:r w:rsidR="007E283A">
        <w:rPr>
          <w:rFonts w:cstheme="minorHAnsi"/>
          <w:sz w:val="24"/>
          <w:szCs w:val="24"/>
        </w:rPr>
        <w:t xml:space="preserve"> </w:t>
      </w:r>
      <w:proofErr w:type="gramStart"/>
      <w:r w:rsidRPr="00991045">
        <w:rPr>
          <w:rFonts w:cstheme="minorHAnsi"/>
          <w:sz w:val="24"/>
          <w:szCs w:val="24"/>
        </w:rPr>
        <w:t>It</w:t>
      </w:r>
      <w:proofErr w:type="gramEnd"/>
      <w:r w:rsidRPr="00991045">
        <w:rPr>
          <w:rFonts w:cstheme="minorHAnsi"/>
          <w:sz w:val="24"/>
          <w:szCs w:val="24"/>
        </w:rPr>
        <w:t xml:space="preserve"> </w:t>
      </w:r>
      <w:r w:rsidR="007E283A">
        <w:rPr>
          <w:rFonts w:cstheme="minorHAnsi"/>
          <w:sz w:val="24"/>
          <w:szCs w:val="24"/>
        </w:rPr>
        <w:t xml:space="preserve">is shall </w:t>
      </w:r>
      <w:r w:rsidRPr="00991045">
        <w:rPr>
          <w:rFonts w:cstheme="minorHAnsi"/>
          <w:sz w:val="24"/>
          <w:szCs w:val="24"/>
        </w:rPr>
        <w:t>also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provide the player</w:t>
      </w:r>
      <w:r w:rsidR="007E283A">
        <w:rPr>
          <w:rFonts w:cstheme="minorHAnsi"/>
          <w:sz w:val="24"/>
          <w:szCs w:val="24"/>
        </w:rPr>
        <w:t>s</w:t>
      </w:r>
      <w:r w:rsidRPr="00991045">
        <w:rPr>
          <w:rFonts w:cstheme="minorHAnsi"/>
          <w:sz w:val="24"/>
          <w:szCs w:val="24"/>
        </w:rPr>
        <w:t xml:space="preserve"> with lateral forgiveness.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Colors –</w:t>
      </w:r>
      <w:r w:rsidR="007E283A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Standard colors and custom options available</w:t>
      </w:r>
    </w:p>
    <w:p w:rsid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Support Structure – Each tile</w:t>
      </w:r>
      <w:r w:rsidR="007E283A">
        <w:rPr>
          <w:rFonts w:cstheme="minorHAnsi"/>
          <w:sz w:val="24"/>
          <w:szCs w:val="24"/>
        </w:rPr>
        <w:t xml:space="preserve"> shall be</w:t>
      </w:r>
      <w:r w:rsidRPr="00991045">
        <w:rPr>
          <w:rFonts w:cstheme="minorHAnsi"/>
          <w:sz w:val="24"/>
          <w:szCs w:val="24"/>
        </w:rPr>
        <w:t xml:space="preserve"> supported by 155 cross posts. </w:t>
      </w:r>
      <w:r w:rsidR="007E283A">
        <w:rPr>
          <w:rFonts w:cstheme="minorHAnsi"/>
          <w:sz w:val="24"/>
          <w:szCs w:val="24"/>
        </w:rPr>
        <w:t xml:space="preserve"> To</w:t>
      </w:r>
      <w:r w:rsidRPr="00991045">
        <w:rPr>
          <w:rFonts w:cstheme="minorHAnsi"/>
          <w:sz w:val="24"/>
          <w:szCs w:val="24"/>
        </w:rPr>
        <w:t xml:space="preserve"> provide a stable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base while at the same time vertical flex.</w:t>
      </w:r>
    </w:p>
    <w:p w:rsidR="002F5D90" w:rsidRPr="00991045" w:rsidRDefault="002F5D90" w:rsidP="0099104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Weight – 7 oz.</w:t>
      </w:r>
    </w:p>
    <w:p w:rsidR="002F5D90" w:rsidRDefault="002F5D90" w:rsidP="002F5D9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991045" w:rsidRDefault="00991045" w:rsidP="002F5D9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2F5D90" w:rsidRDefault="002F5D90" w:rsidP="002F5D9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 Tile Lines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 xml:space="preserve">Description – An injection molded, high impact plastic line tile. </w:t>
      </w:r>
      <w:r w:rsidR="00D46FCA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Used to inlay straight</w:t>
      </w:r>
      <w:r w:rsidR="00991045">
        <w:rPr>
          <w:rFonts w:cstheme="minorHAnsi"/>
          <w:sz w:val="24"/>
          <w:szCs w:val="24"/>
        </w:rPr>
        <w:t xml:space="preserve"> </w:t>
      </w:r>
      <w:r w:rsidRPr="00991045">
        <w:rPr>
          <w:rFonts w:cstheme="minorHAnsi"/>
          <w:sz w:val="24"/>
          <w:szCs w:val="24"/>
        </w:rPr>
        <w:t>lines in a court.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Size – 10.03” x 2” x 3/4” thick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Material – Same as tile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Surface Texture – Same as tile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Tile Interlocking Mechanism – Same as tile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Colors – Same as tile</w:t>
      </w:r>
    </w:p>
    <w:p w:rsidR="00991045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Support Structure – Same as tile</w:t>
      </w:r>
    </w:p>
    <w:p w:rsidR="008850A0" w:rsidRDefault="002F5D90" w:rsidP="002F5D9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91045">
        <w:rPr>
          <w:rFonts w:cstheme="minorHAnsi"/>
          <w:sz w:val="24"/>
          <w:szCs w:val="24"/>
        </w:rPr>
        <w:t>Weight – 1.5 oz.</w:t>
      </w:r>
    </w:p>
    <w:p w:rsidR="00991045" w:rsidRDefault="00991045" w:rsidP="00991045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E73FF9" w:rsidRDefault="00991045" w:rsidP="00E73FF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 Ramp Tiles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 xml:space="preserve">Description – An injection molded, high impact plastic ramp tile. </w:t>
      </w:r>
      <w:r w:rsidR="003C0F8D">
        <w:rPr>
          <w:rFonts w:cstheme="minorHAnsi"/>
          <w:sz w:val="24"/>
          <w:szCs w:val="24"/>
        </w:rPr>
        <w:t xml:space="preserve"> </w:t>
      </w:r>
      <w:r w:rsidRPr="00E73FF9">
        <w:rPr>
          <w:rFonts w:cstheme="minorHAnsi"/>
          <w:sz w:val="24"/>
          <w:szCs w:val="24"/>
        </w:rPr>
        <w:t>Used around the</w:t>
      </w:r>
      <w:r>
        <w:rPr>
          <w:rFonts w:cstheme="minorHAnsi"/>
          <w:sz w:val="24"/>
          <w:szCs w:val="24"/>
        </w:rPr>
        <w:t xml:space="preserve"> </w:t>
      </w:r>
      <w:r w:rsidRPr="00E73FF9">
        <w:rPr>
          <w:rFonts w:cstheme="minorHAnsi"/>
          <w:sz w:val="24"/>
          <w:szCs w:val="24"/>
        </w:rPr>
        <w:t>edge of court as ramp from ground to tile level.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Size – 10.03” x 2” x 3/4” thick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Material – Same as tile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Surface texture – Smooth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Tile Interlocking Mechanism – Same as tile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Colors – Same as tile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Support Structure – Same as tile</w:t>
      </w:r>
    </w:p>
    <w:p w:rsidR="00E73FF9" w:rsidRDefault="00E73FF9" w:rsidP="00E73FF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73FF9">
        <w:rPr>
          <w:rFonts w:cstheme="minorHAnsi"/>
          <w:sz w:val="24"/>
          <w:szCs w:val="24"/>
        </w:rPr>
        <w:t>Weight – 1.6 oz.</w:t>
      </w:r>
    </w:p>
    <w:p w:rsidR="00AD7599" w:rsidRDefault="00AD7599" w:rsidP="00AD759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AD7599" w:rsidRDefault="00AD7599" w:rsidP="00AD759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Line Stripe Painting</w:t>
      </w:r>
    </w:p>
    <w:p w:rsidR="000C3CCC" w:rsidRDefault="000C3CCC" w:rsidP="000C3CC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C3CCC">
        <w:rPr>
          <w:rFonts w:cstheme="minorHAnsi"/>
          <w:sz w:val="24"/>
          <w:szCs w:val="24"/>
        </w:rPr>
        <w:t>Primer- Used to promote adhesion between the tile surface and the paint.</w:t>
      </w:r>
    </w:p>
    <w:p w:rsidR="000C3CCC" w:rsidRPr="00F64349" w:rsidRDefault="000C3CCC" w:rsidP="00F6434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C3CCC">
        <w:rPr>
          <w:rFonts w:cstheme="minorHAnsi"/>
          <w:sz w:val="24"/>
          <w:szCs w:val="24"/>
        </w:rPr>
        <w:t>Paint – Used to mark the playing lines required in various sports.</w:t>
      </w:r>
      <w:r w:rsidR="00F64349">
        <w:rPr>
          <w:rFonts w:cstheme="minorHAnsi"/>
          <w:sz w:val="24"/>
          <w:szCs w:val="24"/>
        </w:rPr>
        <w:t xml:space="preserve">  </w:t>
      </w:r>
      <w:r w:rsidR="00F64349" w:rsidRPr="009A5221">
        <w:rPr>
          <w:rFonts w:cstheme="minorHAnsi"/>
          <w:sz w:val="24"/>
          <w:szCs w:val="24"/>
        </w:rPr>
        <w:t xml:space="preserve">Lines shall be primed using </w:t>
      </w:r>
      <w:proofErr w:type="spellStart"/>
      <w:r w:rsidR="00F64349" w:rsidRPr="009A5221">
        <w:rPr>
          <w:rFonts w:cstheme="minorHAnsi"/>
          <w:sz w:val="24"/>
          <w:szCs w:val="24"/>
        </w:rPr>
        <w:t>Klean</w:t>
      </w:r>
      <w:proofErr w:type="spellEnd"/>
      <w:r w:rsidR="00F64349" w:rsidRPr="009A5221">
        <w:rPr>
          <w:rFonts w:cstheme="minorHAnsi"/>
          <w:sz w:val="24"/>
          <w:szCs w:val="24"/>
        </w:rPr>
        <w:t xml:space="preserve"> Strip’s Bulldog adhesion promoter and then painted</w:t>
      </w:r>
      <w:r w:rsidR="00F64349">
        <w:rPr>
          <w:rFonts w:cstheme="minorHAnsi"/>
          <w:sz w:val="24"/>
          <w:szCs w:val="24"/>
        </w:rPr>
        <w:t xml:space="preserve"> </w:t>
      </w:r>
      <w:r w:rsidR="00F64349" w:rsidRPr="009A5221">
        <w:rPr>
          <w:rFonts w:cstheme="minorHAnsi"/>
          <w:sz w:val="24"/>
          <w:szCs w:val="24"/>
        </w:rPr>
        <w:t xml:space="preserve">using Sherwin Williams </w:t>
      </w:r>
      <w:proofErr w:type="spellStart"/>
      <w:r w:rsidR="00F64349" w:rsidRPr="009A5221">
        <w:rPr>
          <w:rFonts w:cstheme="minorHAnsi"/>
          <w:sz w:val="24"/>
          <w:szCs w:val="24"/>
        </w:rPr>
        <w:t>Acrolon</w:t>
      </w:r>
      <w:proofErr w:type="spellEnd"/>
      <w:r w:rsidR="00F64349" w:rsidRPr="009A5221">
        <w:rPr>
          <w:rFonts w:cstheme="minorHAnsi"/>
          <w:sz w:val="24"/>
          <w:szCs w:val="24"/>
        </w:rPr>
        <w:t xml:space="preserve"> polyurethane paint.</w:t>
      </w:r>
    </w:p>
    <w:p w:rsidR="00C86095" w:rsidRDefault="00C86095" w:rsidP="00C86095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C86095" w:rsidRDefault="00C86095" w:rsidP="00C8609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Physical Properties</w:t>
      </w:r>
    </w:p>
    <w:p w:rsidR="00C86095" w:rsidRDefault="00C86095" w:rsidP="00C86095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 Test Results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Rockwell hardness (ASTM D 785): 74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Heat Deflection @ .455 MPa (ASTM E 648): 195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Flaming at 1000mm (ASTM E 648): 4 min 45s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Auto-ignition temperature (ASTM D-1929): 980˚F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C86095">
        <w:rPr>
          <w:rFonts w:cstheme="minorHAnsi"/>
          <w:sz w:val="24"/>
          <w:szCs w:val="24"/>
        </w:rPr>
        <w:t>Vicat</w:t>
      </w:r>
      <w:proofErr w:type="spellEnd"/>
      <w:r w:rsidRPr="00C86095">
        <w:rPr>
          <w:rFonts w:cstheme="minorHAnsi"/>
          <w:sz w:val="24"/>
          <w:szCs w:val="24"/>
        </w:rPr>
        <w:t xml:space="preserve"> softening point (ASTM D-1525): 260˚F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lastRenderedPageBreak/>
        <w:t>Low Temperature Brittleness (ASTM D-2137): -25˚F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Coefficient of Linear Thermal Expansion, (ASTM D-696, E-831): 63 x 10-6 (in/in)/˚F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E-Modulus (ASTM D-5418) 126,000 psi (850MPa)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Flex Modulus (ASTM D-790) 122,000 psi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Tensile Yield Strength (ASTM D-638) 3,300 psi</w:t>
      </w:r>
    </w:p>
    <w:p w:rsidR="00C86095" w:rsidRP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Elongation at Yield (ASTM D-638) 18%</w:t>
      </w:r>
    </w:p>
    <w:p w:rsidR="00C86095" w:rsidRDefault="00C86095" w:rsidP="00C86095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86095">
        <w:rPr>
          <w:rFonts w:cstheme="minorHAnsi"/>
          <w:sz w:val="24"/>
          <w:szCs w:val="24"/>
        </w:rPr>
        <w:t>Notched Izod (ASTM D-256) 15 ft-lb / in at 20˚C</w:t>
      </w:r>
    </w:p>
    <w:p w:rsidR="00E47851" w:rsidRDefault="00E47851" w:rsidP="00E47851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E47851" w:rsidRDefault="00E47851" w:rsidP="00E47851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Product</w:t>
      </w:r>
      <w:r w:rsidR="00F617D1">
        <w:rPr>
          <w:rFonts w:cstheme="minorHAnsi"/>
          <w:sz w:val="24"/>
          <w:szCs w:val="24"/>
        </w:rPr>
        <w:t xml:space="preserve"> Test Results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Flame Spread Index (ASTM E-162): 4 min. 30 sec.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Smoke Development (ASTM E-162): 1 min. 46 sec.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Radiant Panel (ASTM E-84,162,648): .12 Watts/cm²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Friction Test (ASTM C-1028): Dry&lt;.71, wet&lt;.52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Compression vs. Crush (ASTM D-3998): No Break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Noise Reduction Coefficient (ASTM C-423): 25%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R-Value: &lt; 1.0</w:t>
      </w:r>
    </w:p>
    <w:p w:rsidR="00E47851" w:rsidRP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Flatness: ± 1.5mm</w:t>
      </w:r>
    </w:p>
    <w:p w:rsidR="00E47851" w:rsidRDefault="00E4785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47851">
        <w:rPr>
          <w:rFonts w:cstheme="minorHAnsi"/>
          <w:sz w:val="24"/>
          <w:szCs w:val="24"/>
        </w:rPr>
        <w:t>Load Bearing Capacity: 180 psi</w:t>
      </w:r>
    </w:p>
    <w:p w:rsidR="00F617D1" w:rsidRDefault="00F617D1" w:rsidP="00E4785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Vertical Rebound Characteristics (ASTM F2117-10) 97.1%</w:t>
      </w:r>
    </w:p>
    <w:p w:rsidR="00F617D1" w:rsidRDefault="00F617D1" w:rsidP="00F617D1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617D1" w:rsidRDefault="00F617D1" w:rsidP="00F617D1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14904 Test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Fire Test: EN 13501-1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Emission of formaldehyde: EN 717-1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Emission of pentachlorophenol: Annex D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Release of other dangerous substances: National Standards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Linear Friction: EN 13036-4 using CEN rubber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Shock Absorption: EN 14808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Resistance to a rolling road: EN 1569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 xml:space="preserve">Resistance to wear: EN 5470-1 using </w:t>
      </w:r>
      <w:proofErr w:type="spellStart"/>
      <w:r w:rsidRPr="00F617D1">
        <w:rPr>
          <w:rFonts w:cstheme="minorHAnsi"/>
          <w:sz w:val="24"/>
          <w:szCs w:val="24"/>
        </w:rPr>
        <w:t>taber</w:t>
      </w:r>
      <w:proofErr w:type="spellEnd"/>
      <w:r w:rsidRPr="00F617D1">
        <w:rPr>
          <w:rFonts w:cstheme="minorHAnsi"/>
          <w:sz w:val="24"/>
          <w:szCs w:val="24"/>
        </w:rPr>
        <w:t xml:space="preserve"> abrader with H18 wheels with load of 1kg (on</w:t>
      </w:r>
      <w:r>
        <w:rPr>
          <w:rFonts w:cstheme="minorHAnsi"/>
          <w:sz w:val="24"/>
          <w:szCs w:val="24"/>
        </w:rPr>
        <w:t xml:space="preserve"> </w:t>
      </w:r>
      <w:r w:rsidRPr="00F617D1">
        <w:rPr>
          <w:rFonts w:cstheme="minorHAnsi"/>
          <w:sz w:val="24"/>
          <w:szCs w:val="24"/>
        </w:rPr>
        <w:t>lacquer: CS10 wheels with 0.5 kg load)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Vertical ball rebound: EN 12235 using basketball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Vertical deformation: EN 14809</w:t>
      </w:r>
    </w:p>
    <w:p w:rsid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Resistance to indentation: EN 1516</w:t>
      </w:r>
    </w:p>
    <w:p w:rsidR="00F617D1" w:rsidRDefault="00F617D1" w:rsidP="00F617D1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617D1" w:rsidRDefault="00F617D1" w:rsidP="00F617D1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14877 Test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Linear friction: EN 13036-4 using CEN number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Shock Absorption: EN 14808: original and after ageing in hot air according to EN 13817</w:t>
      </w:r>
      <w:r>
        <w:rPr>
          <w:rFonts w:cstheme="minorHAnsi"/>
          <w:sz w:val="24"/>
          <w:szCs w:val="24"/>
        </w:rPr>
        <w:t xml:space="preserve"> </w:t>
      </w:r>
      <w:r w:rsidRPr="00F617D1">
        <w:rPr>
          <w:rFonts w:cstheme="minorHAnsi"/>
          <w:sz w:val="24"/>
          <w:szCs w:val="24"/>
        </w:rPr>
        <w:t>followed by immersion in hot water according to EN 13744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Vertical deformation: EN 14809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Vertical ball rebound: EN 12235 using basketball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Resistance to a rolling road: EN 1569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Water permeability: EN 12616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Specular reflectance: EN 13745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lastRenderedPageBreak/>
        <w:t xml:space="preserve">Resistance to wear: EN 5470-1 using </w:t>
      </w:r>
      <w:proofErr w:type="spellStart"/>
      <w:r w:rsidRPr="00F617D1">
        <w:rPr>
          <w:rFonts w:cstheme="minorHAnsi"/>
          <w:sz w:val="24"/>
          <w:szCs w:val="24"/>
        </w:rPr>
        <w:t>taber</w:t>
      </w:r>
      <w:proofErr w:type="spellEnd"/>
      <w:r w:rsidRPr="00F617D1">
        <w:rPr>
          <w:rFonts w:cstheme="minorHAnsi"/>
          <w:sz w:val="24"/>
          <w:szCs w:val="24"/>
        </w:rPr>
        <w:t xml:space="preserve"> abrader with H18 wheels with load of 1kg and after</w:t>
      </w:r>
      <w:r>
        <w:rPr>
          <w:rFonts w:cstheme="minorHAnsi"/>
          <w:sz w:val="24"/>
          <w:szCs w:val="24"/>
        </w:rPr>
        <w:t xml:space="preserve"> </w:t>
      </w:r>
      <w:r w:rsidRPr="00F617D1">
        <w:rPr>
          <w:rFonts w:cstheme="minorHAnsi"/>
          <w:sz w:val="24"/>
          <w:szCs w:val="24"/>
        </w:rPr>
        <w:t>EN 14836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617D1">
        <w:rPr>
          <w:rFonts w:cstheme="minorHAnsi"/>
          <w:sz w:val="24"/>
          <w:szCs w:val="24"/>
        </w:rPr>
        <w:t>Colour</w:t>
      </w:r>
      <w:proofErr w:type="spellEnd"/>
      <w:r w:rsidRPr="00F617D1">
        <w:rPr>
          <w:rFonts w:cstheme="minorHAnsi"/>
          <w:sz w:val="24"/>
          <w:szCs w:val="24"/>
        </w:rPr>
        <w:t xml:space="preserve"> loss: EN ISO 20105-A02 after artificial weathering according to EN 14836</w:t>
      </w:r>
    </w:p>
    <w:p w:rsidR="00F617D1" w:rsidRPr="00F617D1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Maximum tensile strength: EN 12230: original and after ageing in hot air according to EN 13817</w:t>
      </w:r>
      <w:r>
        <w:rPr>
          <w:rFonts w:cstheme="minorHAnsi"/>
          <w:sz w:val="24"/>
          <w:szCs w:val="24"/>
        </w:rPr>
        <w:t xml:space="preserve"> </w:t>
      </w:r>
      <w:r w:rsidRPr="00F617D1">
        <w:rPr>
          <w:rFonts w:cstheme="minorHAnsi"/>
          <w:sz w:val="24"/>
          <w:szCs w:val="24"/>
        </w:rPr>
        <w:t>followed by immersion in hot water according to EN 13744</w:t>
      </w:r>
    </w:p>
    <w:p w:rsidR="00F617D1" w:rsidRPr="00C86095" w:rsidRDefault="00F617D1" w:rsidP="00F617D1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17D1">
        <w:rPr>
          <w:rFonts w:cstheme="minorHAnsi"/>
          <w:sz w:val="24"/>
          <w:szCs w:val="24"/>
        </w:rPr>
        <w:t>Absolute thickness EN 1969: method A</w:t>
      </w:r>
    </w:p>
    <w:p w:rsidR="008850A0" w:rsidRPr="00500110" w:rsidRDefault="008850A0" w:rsidP="002F5D90">
      <w:pPr>
        <w:spacing w:after="0" w:line="240" w:lineRule="auto"/>
        <w:rPr>
          <w:rFonts w:cstheme="minorHAnsi"/>
          <w:sz w:val="24"/>
          <w:szCs w:val="24"/>
        </w:rPr>
      </w:pPr>
    </w:p>
    <w:p w:rsidR="002F5D90" w:rsidRDefault="00A543D7" w:rsidP="002F5D9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Bid Opening</w:t>
      </w:r>
      <w:r w:rsidR="002F5D90">
        <w:rPr>
          <w:rFonts w:cstheme="minorHAnsi"/>
          <w:b/>
          <w:sz w:val="24"/>
          <w:szCs w:val="24"/>
        </w:rPr>
        <w:t>:</w:t>
      </w:r>
    </w:p>
    <w:p w:rsidR="00A23A22" w:rsidRPr="002F5D90" w:rsidRDefault="002F5D90" w:rsidP="002F5D9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Bid Opening</w:t>
      </w:r>
      <w:r w:rsidR="00A543D7" w:rsidRPr="002F5D90">
        <w:rPr>
          <w:rFonts w:cstheme="minorHAnsi"/>
          <w:sz w:val="24"/>
          <w:szCs w:val="24"/>
        </w:rPr>
        <w:t xml:space="preserve"> is </w:t>
      </w:r>
      <w:bookmarkStart w:id="0" w:name="_GoBack"/>
      <w:bookmarkEnd w:id="0"/>
      <w:r w:rsidR="00C61D09">
        <w:rPr>
          <w:rFonts w:cstheme="minorHAnsi"/>
          <w:sz w:val="24"/>
          <w:szCs w:val="24"/>
        </w:rPr>
        <w:t>______________</w:t>
      </w:r>
      <w:r w:rsidR="00A543D7" w:rsidRPr="002F5D90">
        <w:rPr>
          <w:rFonts w:cstheme="minorHAnsi"/>
          <w:sz w:val="24"/>
          <w:szCs w:val="24"/>
        </w:rPr>
        <w:t xml:space="preserve"> at </w:t>
      </w:r>
      <w:r w:rsidR="00A23A22" w:rsidRPr="002F5D90">
        <w:rPr>
          <w:rFonts w:cstheme="minorHAnsi"/>
          <w:sz w:val="24"/>
          <w:szCs w:val="24"/>
        </w:rPr>
        <w:t xml:space="preserve">all sealed bids need to be sent to the Finance Office of the City of Manchester at 200 West Fort Street, Manchester TN 37355. </w:t>
      </w:r>
    </w:p>
    <w:sectPr w:rsidR="00A23A22" w:rsidRPr="002F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21A"/>
    <w:multiLevelType w:val="hybridMultilevel"/>
    <w:tmpl w:val="379A9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9647E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E4AFC"/>
    <w:multiLevelType w:val="hybridMultilevel"/>
    <w:tmpl w:val="EFB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986"/>
    <w:multiLevelType w:val="hybridMultilevel"/>
    <w:tmpl w:val="6F18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2B18"/>
    <w:multiLevelType w:val="hybridMultilevel"/>
    <w:tmpl w:val="F2A8B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F3"/>
    <w:rsid w:val="00032383"/>
    <w:rsid w:val="000C3CCC"/>
    <w:rsid w:val="000D013C"/>
    <w:rsid w:val="00121DEF"/>
    <w:rsid w:val="00146A50"/>
    <w:rsid w:val="00192D45"/>
    <w:rsid w:val="002064C2"/>
    <w:rsid w:val="002201D2"/>
    <w:rsid w:val="00265157"/>
    <w:rsid w:val="002669E2"/>
    <w:rsid w:val="002F5D90"/>
    <w:rsid w:val="003A7030"/>
    <w:rsid w:val="003C0F8D"/>
    <w:rsid w:val="0041440F"/>
    <w:rsid w:val="00437DB6"/>
    <w:rsid w:val="00474A74"/>
    <w:rsid w:val="00500110"/>
    <w:rsid w:val="00514B5E"/>
    <w:rsid w:val="00555960"/>
    <w:rsid w:val="00640DC6"/>
    <w:rsid w:val="0064394E"/>
    <w:rsid w:val="006641E5"/>
    <w:rsid w:val="0077746D"/>
    <w:rsid w:val="00787D72"/>
    <w:rsid w:val="007C1406"/>
    <w:rsid w:val="007C7F22"/>
    <w:rsid w:val="007E283A"/>
    <w:rsid w:val="00831220"/>
    <w:rsid w:val="00855020"/>
    <w:rsid w:val="008850A0"/>
    <w:rsid w:val="008D579C"/>
    <w:rsid w:val="008E4C33"/>
    <w:rsid w:val="00991045"/>
    <w:rsid w:val="009A5221"/>
    <w:rsid w:val="009C4096"/>
    <w:rsid w:val="00A021FC"/>
    <w:rsid w:val="00A23A22"/>
    <w:rsid w:val="00A543D7"/>
    <w:rsid w:val="00AA7EF9"/>
    <w:rsid w:val="00AD7599"/>
    <w:rsid w:val="00AE4DAA"/>
    <w:rsid w:val="00AE6AF3"/>
    <w:rsid w:val="00B00BDD"/>
    <w:rsid w:val="00BA0AC7"/>
    <w:rsid w:val="00BD01FB"/>
    <w:rsid w:val="00BE1303"/>
    <w:rsid w:val="00C13F9E"/>
    <w:rsid w:val="00C61D09"/>
    <w:rsid w:val="00C86095"/>
    <w:rsid w:val="00CE24E7"/>
    <w:rsid w:val="00CF62EF"/>
    <w:rsid w:val="00D46FCA"/>
    <w:rsid w:val="00D51A38"/>
    <w:rsid w:val="00DE4DA6"/>
    <w:rsid w:val="00E47851"/>
    <w:rsid w:val="00E676FB"/>
    <w:rsid w:val="00E73FF9"/>
    <w:rsid w:val="00F226F2"/>
    <w:rsid w:val="00F303E0"/>
    <w:rsid w:val="00F617D1"/>
    <w:rsid w:val="00F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289EE-DAFC-4DA4-B4D2-F68483F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Gamble</dc:creator>
  <cp:keywords/>
  <dc:description/>
  <cp:lastModifiedBy>AJ Fox</cp:lastModifiedBy>
  <cp:revision>23</cp:revision>
  <dcterms:created xsi:type="dcterms:W3CDTF">2021-09-09T16:41:00Z</dcterms:created>
  <dcterms:modified xsi:type="dcterms:W3CDTF">2021-09-14T15:05:00Z</dcterms:modified>
</cp:coreProperties>
</file>