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54039D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5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62FC6276" w14:textId="1E2E1EB2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07E9CE19" w14:textId="62E39962" w:rsidR="00965AA1" w:rsidRDefault="00951FC4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Lamp Disposal/Universal Waste </w:t>
      </w:r>
      <w:r w:rsidR="005502A1">
        <w:rPr>
          <w:rFonts w:ascii="Arial" w:eastAsia="Arial" w:hAnsi="Arial" w:cs="Arial"/>
          <w:b/>
        </w:rPr>
        <w:t>Contract</w:t>
      </w:r>
      <w:r w:rsidR="00965AA1">
        <w:rPr>
          <w:rFonts w:ascii="Arial" w:eastAsia="Arial" w:hAnsi="Arial" w:cs="Arial"/>
          <w:b/>
        </w:rPr>
        <w:t xml:space="preserve"> </w:t>
      </w:r>
    </w:p>
    <w:p w14:paraId="62FC6277" w14:textId="6E5B61D2" w:rsidR="00590E38" w:rsidRPr="00DB2E60" w:rsidRDefault="00965AA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Programs Div. FY </w:t>
      </w:r>
      <w:r w:rsidR="007348E4">
        <w:rPr>
          <w:rFonts w:ascii="Arial" w:eastAsia="Arial" w:hAnsi="Arial" w:cs="Arial"/>
          <w:b/>
        </w:rPr>
        <w:t>2</w:t>
      </w:r>
      <w:r w:rsidR="00D74E3E">
        <w:rPr>
          <w:rFonts w:ascii="Arial" w:eastAsia="Arial" w:hAnsi="Arial" w:cs="Arial"/>
          <w:b/>
        </w:rPr>
        <w:t>1-22.4</w:t>
      </w:r>
    </w:p>
    <w:p w14:paraId="62FC6278" w14:textId="69A010BB" w:rsidR="00590E38" w:rsidRDefault="00590E38">
      <w:pPr>
        <w:pStyle w:val="BodyText"/>
        <w:spacing w:line="252" w:lineRule="exact"/>
        <w:ind w:left="1672" w:right="1609"/>
        <w:jc w:val="center"/>
      </w:pP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06E17FF0" w:rsidR="00493C99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3F5CECA" w14:textId="77777777" w:rsidR="00D2114E" w:rsidRPr="00DB2E60" w:rsidRDefault="00D2114E" w:rsidP="00493C99">
      <w:pPr>
        <w:pStyle w:val="NormalWeb"/>
        <w:rPr>
          <w:rFonts w:ascii="Arial" w:hAnsi="Arial" w:cs="Arial"/>
          <w:color w:val="000000"/>
        </w:rPr>
      </w:pPr>
    </w:p>
    <w:p w14:paraId="6C3C0E63" w14:textId="25FCCD44" w:rsidR="00A31329" w:rsidRDefault="00F021DD" w:rsidP="00493C99">
      <w:pPr>
        <w:pStyle w:val="NormalWeb"/>
        <w:rPr>
          <w:rFonts w:ascii="Arial" w:hAnsi="Arial" w:cs="Arial"/>
        </w:rPr>
      </w:pPr>
      <w:r w:rsidRPr="00DB2E60">
        <w:rPr>
          <w:rFonts w:ascii="Arial" w:hAnsi="Arial" w:cs="Arial"/>
          <w:color w:val="000000"/>
        </w:rPr>
        <w:t>It is</w:t>
      </w:r>
      <w:r w:rsidR="00493C99" w:rsidRPr="00DB2E60">
        <w:rPr>
          <w:rFonts w:ascii="Arial" w:hAnsi="Arial" w:cs="Arial"/>
          <w:color w:val="000000"/>
        </w:rPr>
        <w:t xml:space="preserve"> that time o</w:t>
      </w:r>
      <w:r w:rsidR="00DB2E60" w:rsidRPr="00DB2E60">
        <w:rPr>
          <w:rFonts w:ascii="Arial" w:hAnsi="Arial" w:cs="Arial"/>
          <w:color w:val="000000"/>
        </w:rPr>
        <w:t>f year to request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>for</w:t>
      </w:r>
      <w:r w:rsidR="00ED5B5F">
        <w:rPr>
          <w:rFonts w:ascii="Arial" w:hAnsi="Arial" w:cs="Arial"/>
        </w:rPr>
        <w:t xml:space="preserve"> the Lamp Disposal/Universal Waste</w:t>
      </w:r>
      <w:r w:rsidR="00FD6FC1" w:rsidRPr="00FD6FC1">
        <w:rPr>
          <w:rFonts w:ascii="Arial" w:hAnsi="Arial" w:cs="Arial"/>
        </w:rPr>
        <w:t xml:space="preserve"> at the Perdido Landfill for the Escambia Co. Waste Services Dept. for</w:t>
      </w:r>
      <w:r w:rsidR="00DB2E60" w:rsidRPr="00DB2E60">
        <w:rPr>
          <w:rFonts w:ascii="Arial" w:hAnsi="Arial" w:cs="Arial"/>
          <w:color w:val="000000"/>
        </w:rPr>
        <w:t xml:space="preserve"> FY </w:t>
      </w:r>
      <w:r w:rsidR="006248D8">
        <w:rPr>
          <w:rFonts w:ascii="Arial" w:hAnsi="Arial" w:cs="Arial"/>
          <w:color w:val="000000"/>
        </w:rPr>
        <w:t>21</w:t>
      </w:r>
      <w:r w:rsidR="00D74E3E">
        <w:rPr>
          <w:rFonts w:ascii="Arial" w:hAnsi="Arial" w:cs="Arial"/>
          <w:color w:val="000000"/>
        </w:rPr>
        <w:t>-22</w:t>
      </w:r>
      <w:r w:rsidR="00493C99" w:rsidRPr="00DB2E60">
        <w:rPr>
          <w:rFonts w:ascii="Arial" w:hAnsi="Arial" w:cs="Arial"/>
          <w:color w:val="000000"/>
        </w:rPr>
        <w:t xml:space="preserve">.  </w:t>
      </w:r>
      <w:r w:rsidR="00B569D7" w:rsidRPr="00B45752">
        <w:rPr>
          <w:rFonts w:ascii="Arial" w:hAnsi="Arial" w:cs="Arial"/>
        </w:rPr>
        <w:t xml:space="preserve">This annual contract is for the </w:t>
      </w:r>
      <w:r w:rsidR="00ED5B5F">
        <w:rPr>
          <w:rFonts w:ascii="Arial" w:hAnsi="Arial" w:cs="Arial"/>
        </w:rPr>
        <w:t>disposal</w:t>
      </w:r>
      <w:r w:rsidR="00B569D7" w:rsidRPr="00B45752">
        <w:rPr>
          <w:rFonts w:ascii="Arial" w:hAnsi="Arial" w:cs="Arial"/>
        </w:rPr>
        <w:t xml:space="preserve"> of </w:t>
      </w:r>
      <w:r w:rsidR="00784A11">
        <w:rPr>
          <w:rFonts w:ascii="Arial" w:hAnsi="Arial" w:cs="Arial"/>
        </w:rPr>
        <w:t>various lamps to include crushed florescent lights and whole High Intensity Discharge (HID) lamps</w:t>
      </w:r>
      <w:r w:rsidR="00784A11" w:rsidRPr="009C6493">
        <w:rPr>
          <w:rFonts w:ascii="Arial" w:hAnsi="Arial" w:cs="Arial"/>
        </w:rPr>
        <w:t>.</w:t>
      </w:r>
      <w:r w:rsidR="009C6493">
        <w:rPr>
          <w:rFonts w:ascii="Arial" w:hAnsi="Arial" w:cs="Arial"/>
        </w:rPr>
        <w:t xml:space="preserve"> </w:t>
      </w:r>
      <w:r w:rsidR="000F4A4F">
        <w:rPr>
          <w:rFonts w:ascii="Arial" w:hAnsi="Arial" w:cs="Arial"/>
        </w:rPr>
        <w:t>The other univer</w:t>
      </w:r>
      <w:r w:rsidR="006621C4">
        <w:rPr>
          <w:rFonts w:ascii="Arial" w:hAnsi="Arial" w:cs="Arial"/>
        </w:rPr>
        <w:t>sal waste item included in this bid is Ionization</w:t>
      </w:r>
      <w:r w:rsidR="00D74D3C">
        <w:rPr>
          <w:rFonts w:ascii="Arial" w:hAnsi="Arial" w:cs="Arial"/>
        </w:rPr>
        <w:t>-based</w:t>
      </w:r>
      <w:r w:rsidR="006621C4">
        <w:rPr>
          <w:rFonts w:ascii="Arial" w:hAnsi="Arial" w:cs="Arial"/>
        </w:rPr>
        <w:t xml:space="preserve"> Smoke Detectors</w:t>
      </w:r>
      <w:r w:rsidR="009C6493">
        <w:rPr>
          <w:rFonts w:ascii="Arial" w:hAnsi="Arial" w:cs="Arial"/>
        </w:rPr>
        <w:t xml:space="preserve"> </w:t>
      </w:r>
    </w:p>
    <w:p w14:paraId="7D59DEEF" w14:textId="77777777" w:rsidR="00B62090" w:rsidRPr="009C6493" w:rsidRDefault="00B62090" w:rsidP="00493C99">
      <w:pPr>
        <w:pStyle w:val="NormalWeb"/>
        <w:rPr>
          <w:rFonts w:ascii="Arial" w:hAnsi="Arial" w:cs="Arial"/>
        </w:rPr>
      </w:pPr>
    </w:p>
    <w:p w14:paraId="4212AFB2" w14:textId="77777777" w:rsidR="00B76A34" w:rsidRPr="009C6493" w:rsidRDefault="00B76A34" w:rsidP="00493C99">
      <w:pPr>
        <w:pStyle w:val="NormalWeb"/>
        <w:rPr>
          <w:rFonts w:ascii="Arial" w:hAnsi="Arial" w:cs="Arial"/>
        </w:rPr>
      </w:pPr>
    </w:p>
    <w:p w14:paraId="29A5D414" w14:textId="75E66D3F" w:rsidR="000D0DAC" w:rsidRDefault="006A3008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0D0DAC">
        <w:rPr>
          <w:rFonts w:ascii="Arial" w:hAnsi="Arial" w:cs="Arial"/>
          <w:b/>
        </w:rPr>
        <w:t>Please complete attached bid sheet and include all applicable fees/charges</w:t>
      </w:r>
      <w:r w:rsidR="000D0DAC" w:rsidRPr="000D0DAC">
        <w:rPr>
          <w:rFonts w:ascii="Arial" w:hAnsi="Arial" w:cs="Arial"/>
          <w:b/>
        </w:rPr>
        <w:t>.</w:t>
      </w:r>
    </w:p>
    <w:p w14:paraId="23FA0B37" w14:textId="273DC277" w:rsidR="000D0DAC" w:rsidRPr="000D0DAC" w:rsidRDefault="000D0DAC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Freight is shipping from: Perdido Landfill, 13009 Beulah Rd., Cantonment, FL 32533 </w:t>
      </w:r>
    </w:p>
    <w:p w14:paraId="5E56156A" w14:textId="2D5402DB" w:rsidR="000D0DAC" w:rsidRPr="000D0DAC" w:rsidRDefault="000D0DAC" w:rsidP="000D0DAC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D0DAC">
        <w:rPr>
          <w:rFonts w:ascii="Arial" w:hAnsi="Arial" w:cs="Arial"/>
          <w:b/>
          <w:color w:val="000000"/>
        </w:rPr>
        <w:t xml:space="preserve">Deadline for submission is </w:t>
      </w:r>
      <w:r w:rsidR="00D74E3E">
        <w:rPr>
          <w:rFonts w:ascii="Arial" w:hAnsi="Arial" w:cs="Arial"/>
          <w:b/>
          <w:color w:val="000000"/>
        </w:rPr>
        <w:t>4/15/22</w:t>
      </w:r>
      <w:r w:rsidRPr="000D0DAC">
        <w:rPr>
          <w:rFonts w:ascii="Arial" w:hAnsi="Arial" w:cs="Arial"/>
          <w:b/>
          <w:color w:val="000000"/>
        </w:rPr>
        <w:t xml:space="preserve"> at 5:00 p.m.</w:t>
      </w:r>
    </w:p>
    <w:p w14:paraId="530BFF18" w14:textId="111E70A1" w:rsidR="00A601E4" w:rsidRPr="000D0DAC" w:rsidRDefault="00B569D7" w:rsidP="000D0DAC">
      <w:pPr>
        <w:pStyle w:val="NormalWeb"/>
        <w:numPr>
          <w:ilvl w:val="0"/>
          <w:numId w:val="5"/>
        </w:numPr>
        <w:rPr>
          <w:rFonts w:ascii="Arial" w:hAnsi="Arial" w:cs="Arial"/>
          <w:b/>
        </w:rPr>
      </w:pPr>
      <w:r w:rsidRPr="000D0DAC">
        <w:rPr>
          <w:rFonts w:ascii="Arial" w:hAnsi="Arial" w:cs="Arial"/>
          <w:b/>
        </w:rPr>
        <w:t xml:space="preserve">This contract term is for FY </w:t>
      </w:r>
      <w:r w:rsidR="006248D8">
        <w:rPr>
          <w:rFonts w:ascii="Arial" w:hAnsi="Arial" w:cs="Arial"/>
          <w:b/>
        </w:rPr>
        <w:t>21</w:t>
      </w:r>
      <w:r w:rsidR="00D74E3E">
        <w:rPr>
          <w:rFonts w:ascii="Arial" w:hAnsi="Arial" w:cs="Arial"/>
          <w:b/>
        </w:rPr>
        <w:t>-22</w:t>
      </w:r>
      <w:r w:rsidRPr="000D0DAC">
        <w:rPr>
          <w:rFonts w:ascii="Arial" w:hAnsi="Arial" w:cs="Arial"/>
          <w:b/>
        </w:rPr>
        <w:t xml:space="preserve"> and will expire on 9/30/</w:t>
      </w:r>
      <w:r w:rsidR="00F021DD">
        <w:rPr>
          <w:rFonts w:ascii="Arial" w:hAnsi="Arial" w:cs="Arial"/>
          <w:b/>
        </w:rPr>
        <w:t>2</w:t>
      </w:r>
      <w:r w:rsidR="00D74E3E">
        <w:rPr>
          <w:rFonts w:ascii="Arial" w:hAnsi="Arial" w:cs="Arial"/>
          <w:b/>
        </w:rPr>
        <w:t>2</w:t>
      </w:r>
      <w:r w:rsidRPr="000D0DAC">
        <w:rPr>
          <w:rFonts w:ascii="Arial" w:hAnsi="Arial" w:cs="Arial"/>
          <w:b/>
        </w:rPr>
        <w:t xml:space="preserve">.  </w:t>
      </w:r>
    </w:p>
    <w:p w14:paraId="23A02EE4" w14:textId="49AEC1B4" w:rsidR="00B569D7" w:rsidRPr="000D0DAC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D0DAC">
        <w:rPr>
          <w:rFonts w:ascii="Arial" w:hAnsi="Arial" w:cs="Arial"/>
          <w:b/>
        </w:rPr>
        <w:t xml:space="preserve">We do not guarantee a minimum </w:t>
      </w:r>
      <w:r w:rsidR="00102835" w:rsidRPr="000D0DAC">
        <w:rPr>
          <w:rFonts w:ascii="Arial" w:hAnsi="Arial" w:cs="Arial"/>
          <w:b/>
        </w:rPr>
        <w:t>number</w:t>
      </w:r>
      <w:r w:rsidRPr="000D0DAC">
        <w:rPr>
          <w:rFonts w:ascii="Arial" w:hAnsi="Arial" w:cs="Arial"/>
          <w:b/>
        </w:rPr>
        <w:t xml:space="preserve"> of </w:t>
      </w:r>
      <w:r w:rsidR="006621C4" w:rsidRPr="000D0DAC">
        <w:rPr>
          <w:rFonts w:ascii="Arial" w:hAnsi="Arial" w:cs="Arial"/>
          <w:b/>
        </w:rPr>
        <w:t>items shipped per fiscal year</w:t>
      </w:r>
      <w:r w:rsidRPr="000D0DAC">
        <w:rPr>
          <w:rFonts w:ascii="Arial" w:hAnsi="Arial" w:cs="Arial"/>
          <w:b/>
        </w:rPr>
        <w:t>.</w:t>
      </w:r>
    </w:p>
    <w:p w14:paraId="5049ED75" w14:textId="25995E47" w:rsidR="000D0DAC" w:rsidRPr="000D0DAC" w:rsidRDefault="000D0DAC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We average eight to ten 55 gallon drums of crushed florescent lamps per year.</w:t>
      </w:r>
    </w:p>
    <w:p w14:paraId="413A7681" w14:textId="7BCA809D" w:rsidR="006621C4" w:rsidRDefault="006621C4" w:rsidP="00102835">
      <w:pPr>
        <w:pStyle w:val="NormalWeb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D0DAC">
        <w:rPr>
          <w:rFonts w:ascii="Arial" w:hAnsi="Arial" w:cs="Arial"/>
          <w:b/>
          <w:color w:val="000000"/>
        </w:rPr>
        <w:t>Contractors will have all required state and federal permitting for transportation and processing universal waste listed in this bid.</w:t>
      </w:r>
    </w:p>
    <w:p w14:paraId="22B508BD" w14:textId="77777777" w:rsidR="00B62090" w:rsidRPr="000D0DAC" w:rsidRDefault="00B62090" w:rsidP="00B62090">
      <w:pPr>
        <w:pStyle w:val="NormalWeb"/>
        <w:ind w:left="720"/>
        <w:rPr>
          <w:rFonts w:ascii="Arial" w:hAnsi="Arial" w:cs="Arial"/>
          <w:b/>
          <w:color w:val="000000"/>
        </w:rPr>
      </w:pPr>
    </w:p>
    <w:p w14:paraId="1365E853" w14:textId="17F1FA1D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9C6493">
        <w:rPr>
          <w:rFonts w:ascii="Arial" w:eastAsia="Times New Roman" w:hAnsi="Arial" w:cs="Arial"/>
          <w:color w:val="000000"/>
        </w:rPr>
        <w:t>T</w:t>
      </w:r>
      <w:r w:rsidR="003C2757" w:rsidRPr="009C6493">
        <w:rPr>
          <w:rFonts w:ascii="Arial" w:eastAsia="Times New Roman" w:hAnsi="Arial" w:cs="Arial"/>
          <w:color w:val="000000"/>
        </w:rPr>
        <w:t>hank you for your participation in this bidding process with our new procurement program.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BB0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D0DAC"/>
    <w:rsid w:val="000F4A4F"/>
    <w:rsid w:val="00102835"/>
    <w:rsid w:val="00122C4E"/>
    <w:rsid w:val="001435AD"/>
    <w:rsid w:val="0019185D"/>
    <w:rsid w:val="001A7E8E"/>
    <w:rsid w:val="00221899"/>
    <w:rsid w:val="002A1151"/>
    <w:rsid w:val="00350729"/>
    <w:rsid w:val="003901EF"/>
    <w:rsid w:val="003C2757"/>
    <w:rsid w:val="003C2F6C"/>
    <w:rsid w:val="00453C94"/>
    <w:rsid w:val="00493C99"/>
    <w:rsid w:val="004F69B8"/>
    <w:rsid w:val="0053470D"/>
    <w:rsid w:val="005502A1"/>
    <w:rsid w:val="00555246"/>
    <w:rsid w:val="00590E38"/>
    <w:rsid w:val="006248D8"/>
    <w:rsid w:val="006621C4"/>
    <w:rsid w:val="006A3008"/>
    <w:rsid w:val="00700A1E"/>
    <w:rsid w:val="007348E4"/>
    <w:rsid w:val="00784A11"/>
    <w:rsid w:val="007A0176"/>
    <w:rsid w:val="007E0026"/>
    <w:rsid w:val="007E7ABD"/>
    <w:rsid w:val="0089298F"/>
    <w:rsid w:val="008E3AC0"/>
    <w:rsid w:val="008E6BFC"/>
    <w:rsid w:val="00934232"/>
    <w:rsid w:val="00951FC4"/>
    <w:rsid w:val="00965AA1"/>
    <w:rsid w:val="009C6493"/>
    <w:rsid w:val="00A1197D"/>
    <w:rsid w:val="00A31329"/>
    <w:rsid w:val="00A601E4"/>
    <w:rsid w:val="00A61796"/>
    <w:rsid w:val="00A9660F"/>
    <w:rsid w:val="00AA2CD8"/>
    <w:rsid w:val="00AB0DDA"/>
    <w:rsid w:val="00AD5592"/>
    <w:rsid w:val="00AF4123"/>
    <w:rsid w:val="00B45752"/>
    <w:rsid w:val="00B5458B"/>
    <w:rsid w:val="00B569D7"/>
    <w:rsid w:val="00B62090"/>
    <w:rsid w:val="00B76A34"/>
    <w:rsid w:val="00BA6864"/>
    <w:rsid w:val="00BD3FFA"/>
    <w:rsid w:val="00C47BA8"/>
    <w:rsid w:val="00CA1933"/>
    <w:rsid w:val="00D2114E"/>
    <w:rsid w:val="00D300F7"/>
    <w:rsid w:val="00D67712"/>
    <w:rsid w:val="00D74D3C"/>
    <w:rsid w:val="00D74E3E"/>
    <w:rsid w:val="00D77D68"/>
    <w:rsid w:val="00DB2E60"/>
    <w:rsid w:val="00DC683B"/>
    <w:rsid w:val="00DE2C0A"/>
    <w:rsid w:val="00E64469"/>
    <w:rsid w:val="00ED5B5F"/>
    <w:rsid w:val="00F021DD"/>
    <w:rsid w:val="00F0774C"/>
    <w:rsid w:val="00F403E1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A. Gonzalez</dc:creator>
  <cp:lastModifiedBy>Jim E. Howes</cp:lastModifiedBy>
  <cp:revision>2</cp:revision>
  <cp:lastPrinted>2018-09-12T20:17:00Z</cp:lastPrinted>
  <dcterms:created xsi:type="dcterms:W3CDTF">2022-04-07T14:49:00Z</dcterms:created>
  <dcterms:modified xsi:type="dcterms:W3CDTF">2022-04-07T14:49:00Z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</Properties>
</file>