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D1C15" w14:textId="77777777" w:rsidR="00EE6075" w:rsidRDefault="00EE6075">
      <w:pPr>
        <w:pStyle w:val="BodyText"/>
        <w:kinsoku w:val="0"/>
        <w:overflowPunct w:val="0"/>
        <w:spacing w:before="5"/>
        <w:rPr>
          <w:rFonts w:ascii="Times New Roman" w:hAnsi="Times New Roman" w:cs="Times New Roman"/>
          <w:sz w:val="13"/>
          <w:szCs w:val="13"/>
        </w:rPr>
      </w:pPr>
    </w:p>
    <w:p w14:paraId="41DB25B3" w14:textId="77777777" w:rsidR="00EE6075" w:rsidRDefault="001B10BE">
      <w:pPr>
        <w:pStyle w:val="BodyText"/>
        <w:kinsoku w:val="0"/>
        <w:overflowPunct w:val="0"/>
        <w:spacing w:before="85" w:after="19"/>
        <w:ind w:left="3529" w:right="1258"/>
        <w:jc w:val="center"/>
        <w:rPr>
          <w:color w:val="00007F"/>
          <w:sz w:val="40"/>
          <w:szCs w:val="40"/>
        </w:rPr>
      </w:pPr>
      <w:r>
        <w:rPr>
          <w:noProof/>
        </w:rPr>
        <w:pict w14:anchorId="408663E2">
          <v:rect id="_x0000_s1026" style="position:absolute;left:0;text-align:left;margin-left:71.75pt;margin-top:-8.2pt;width:84pt;height:84pt;z-index:2;mso-position-horizontal-relative:page;mso-position-vertical-relative:text" o:allowincell="f" filled="f" stroked="f">
            <v:textbox inset="0,0,0,0">
              <w:txbxContent>
                <w:p w14:paraId="5507015E" w14:textId="77777777" w:rsidR="00EE6075" w:rsidRDefault="001B10BE">
                  <w:pPr>
                    <w:widowControl/>
                    <w:autoSpaceDE/>
                    <w:autoSpaceDN/>
                    <w:adjustRightInd/>
                    <w:spacing w:line="1680" w:lineRule="atLeast"/>
                    <w:rPr>
                      <w:rFonts w:ascii="Times New Roman" w:hAnsi="Times New Roman" w:cs="Times New Roman"/>
                    </w:rPr>
                  </w:pPr>
                  <w:r>
                    <w:rPr>
                      <w:rFonts w:ascii="Times New Roman" w:hAnsi="Times New Roman" w:cs="Times New Roman"/>
                    </w:rPr>
                    <w:pict w14:anchorId="6CA04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75pt;height:84.75pt">
                        <v:imagedata r:id="rId6" o:title=""/>
                      </v:shape>
                    </w:pict>
                  </w:r>
                </w:p>
                <w:p w14:paraId="08CC614C" w14:textId="77777777" w:rsidR="00EE6075" w:rsidRDefault="00EE6075">
                  <w:pPr>
                    <w:rPr>
                      <w:rFonts w:ascii="Times New Roman" w:hAnsi="Times New Roman" w:cs="Times New Roman"/>
                    </w:rPr>
                  </w:pPr>
                </w:p>
              </w:txbxContent>
            </v:textbox>
            <w10:wrap anchorx="page"/>
          </v:rect>
        </w:pict>
      </w:r>
      <w:r w:rsidR="00D73B0A">
        <w:rPr>
          <w:color w:val="00007F"/>
          <w:sz w:val="40"/>
          <w:szCs w:val="40"/>
        </w:rPr>
        <w:t>CITY OF CAMDENTON</w:t>
      </w:r>
    </w:p>
    <w:p w14:paraId="0F42163A" w14:textId="77777777" w:rsidR="00EE6075" w:rsidRDefault="001B10BE">
      <w:pPr>
        <w:pStyle w:val="BodyText"/>
        <w:kinsoku w:val="0"/>
        <w:overflowPunct w:val="0"/>
        <w:spacing w:line="29" w:lineRule="exact"/>
        <w:ind w:left="2395"/>
        <w:rPr>
          <w:position w:val="-1"/>
          <w:sz w:val="2"/>
          <w:szCs w:val="2"/>
        </w:rPr>
      </w:pPr>
      <w:r>
        <w:rPr>
          <w:position w:val="-1"/>
          <w:sz w:val="2"/>
          <w:szCs w:val="2"/>
        </w:rPr>
      </w:r>
      <w:r>
        <w:rPr>
          <w:position w:val="-1"/>
          <w:sz w:val="2"/>
          <w:szCs w:val="2"/>
        </w:rPr>
        <w:pict w14:anchorId="257001EF">
          <v:group id="_x0000_s1027" style="width:364.35pt;height:1.45pt;mso-position-horizontal-relative:char;mso-position-vertical-relative:line" coordsize="7287,29" o:allowincell="f">
            <v:shape id="_x0000_s1028" style="position:absolute;left:14;top:14;width:7258;height:20;mso-position-horizontal-relative:page;mso-position-vertical-relative:page" coordsize="7258,20" o:allowincell="f" path="m,l7257,e" filled="f" strokeweight=".50797mm">
              <v:path arrowok="t"/>
            </v:shape>
            <w10:anchorlock/>
          </v:group>
        </w:pict>
      </w:r>
    </w:p>
    <w:p w14:paraId="755B6C82" w14:textId="77777777" w:rsidR="00EE6075" w:rsidRDefault="00D73B0A">
      <w:pPr>
        <w:pStyle w:val="BodyText"/>
        <w:kinsoku w:val="0"/>
        <w:overflowPunct w:val="0"/>
        <w:ind w:left="3537" w:right="1258"/>
        <w:jc w:val="center"/>
        <w:rPr>
          <w:color w:val="00007F"/>
          <w:sz w:val="22"/>
          <w:szCs w:val="22"/>
        </w:rPr>
      </w:pPr>
      <w:r>
        <w:rPr>
          <w:color w:val="00007F"/>
          <w:sz w:val="22"/>
          <w:szCs w:val="22"/>
        </w:rPr>
        <w:t>437 West US Hwy 54, Camdenton, Missouri 65020</w:t>
      </w:r>
    </w:p>
    <w:p w14:paraId="4F5EB555" w14:textId="77777777" w:rsidR="00EE6075" w:rsidRDefault="00D73B0A">
      <w:pPr>
        <w:pStyle w:val="BodyText"/>
        <w:kinsoku w:val="0"/>
        <w:overflowPunct w:val="0"/>
        <w:spacing w:before="1"/>
        <w:ind w:left="2443"/>
        <w:rPr>
          <w:color w:val="00007F"/>
          <w:sz w:val="22"/>
          <w:szCs w:val="22"/>
        </w:rPr>
      </w:pPr>
      <w:r>
        <w:rPr>
          <w:color w:val="00007F"/>
          <w:sz w:val="22"/>
          <w:szCs w:val="22"/>
        </w:rPr>
        <w:t xml:space="preserve">573-346-3600   Fax 573-346-2926   E-mail – </w:t>
      </w:r>
      <w:hyperlink r:id="rId7" w:history="1">
        <w:r>
          <w:rPr>
            <w:color w:val="00007F"/>
            <w:sz w:val="22"/>
            <w:szCs w:val="22"/>
          </w:rPr>
          <w:t>cityhall@camdentoncity.com</w:t>
        </w:r>
      </w:hyperlink>
    </w:p>
    <w:p w14:paraId="7F5F4C53" w14:textId="77777777" w:rsidR="00EE6075" w:rsidRDefault="00EE6075">
      <w:pPr>
        <w:pStyle w:val="BodyText"/>
        <w:kinsoku w:val="0"/>
        <w:overflowPunct w:val="0"/>
      </w:pPr>
    </w:p>
    <w:p w14:paraId="0600132D" w14:textId="77777777" w:rsidR="00EE6075" w:rsidRDefault="00EE6075">
      <w:pPr>
        <w:pStyle w:val="BodyText"/>
        <w:kinsoku w:val="0"/>
        <w:overflowPunct w:val="0"/>
      </w:pPr>
    </w:p>
    <w:p w14:paraId="4BEC651C" w14:textId="77777777" w:rsidR="00EE6075" w:rsidRDefault="00EE6075">
      <w:pPr>
        <w:pStyle w:val="BodyText"/>
        <w:kinsoku w:val="0"/>
        <w:overflowPunct w:val="0"/>
        <w:spacing w:before="9"/>
        <w:rPr>
          <w:sz w:val="31"/>
          <w:szCs w:val="31"/>
        </w:rPr>
      </w:pPr>
    </w:p>
    <w:p w14:paraId="46EFD31D" w14:textId="77777777" w:rsidR="00EE6075" w:rsidRDefault="00D73B0A">
      <w:pPr>
        <w:pStyle w:val="Heading1"/>
        <w:kinsoku w:val="0"/>
        <w:overflowPunct w:val="0"/>
        <w:ind w:left="1068" w:right="1258"/>
      </w:pPr>
      <w:r>
        <w:t>Request for Qualifications for Building Demolition</w:t>
      </w:r>
    </w:p>
    <w:p w14:paraId="7982E79B" w14:textId="77777777" w:rsidR="00EE6075" w:rsidRDefault="00EE6075">
      <w:pPr>
        <w:pStyle w:val="BodyText"/>
        <w:kinsoku w:val="0"/>
        <w:overflowPunct w:val="0"/>
        <w:spacing w:before="5"/>
        <w:rPr>
          <w:b/>
          <w:bCs/>
        </w:rPr>
      </w:pPr>
    </w:p>
    <w:p w14:paraId="2DFC30FA" w14:textId="2F7CDAE2" w:rsidR="00EE6075" w:rsidRDefault="00D73B0A">
      <w:pPr>
        <w:pStyle w:val="BodyText"/>
        <w:kinsoku w:val="0"/>
        <w:overflowPunct w:val="0"/>
        <w:spacing w:line="242" w:lineRule="auto"/>
        <w:ind w:left="120"/>
      </w:pPr>
      <w:r>
        <w:t>The City of Camdenton, Missouri is hereby soliciting requests for qualifications and experience from qualified demolition companies for the destruction and removal of two</w:t>
      </w:r>
    </w:p>
    <w:p w14:paraId="3EEFB07A" w14:textId="77777777" w:rsidR="00EE6075" w:rsidRDefault="00D73B0A">
      <w:pPr>
        <w:pStyle w:val="ListParagraph"/>
        <w:numPr>
          <w:ilvl w:val="0"/>
          <w:numId w:val="3"/>
        </w:numPr>
        <w:tabs>
          <w:tab w:val="left" w:pos="485"/>
        </w:tabs>
        <w:kinsoku w:val="0"/>
        <w:overflowPunct w:val="0"/>
        <w:spacing w:line="271" w:lineRule="exact"/>
        <w:ind w:hanging="364"/>
      </w:pPr>
      <w:r>
        <w:t>city owned buildings. This project shall include the</w:t>
      </w:r>
      <w:r>
        <w:rPr>
          <w:spacing w:val="-25"/>
        </w:rPr>
        <w:t xml:space="preserve"> </w:t>
      </w:r>
      <w:r>
        <w:t>following:</w:t>
      </w:r>
    </w:p>
    <w:p w14:paraId="0C520101" w14:textId="77777777" w:rsidR="00EE6075" w:rsidRDefault="00EE6075">
      <w:pPr>
        <w:pStyle w:val="BodyText"/>
        <w:kinsoku w:val="0"/>
        <w:overflowPunct w:val="0"/>
      </w:pPr>
    </w:p>
    <w:p w14:paraId="40FD3E2F" w14:textId="77777777" w:rsidR="00EE6075" w:rsidRDefault="00D73B0A">
      <w:pPr>
        <w:pStyle w:val="ListParagraph"/>
        <w:numPr>
          <w:ilvl w:val="1"/>
          <w:numId w:val="3"/>
        </w:numPr>
        <w:tabs>
          <w:tab w:val="left" w:pos="1109"/>
        </w:tabs>
        <w:kinsoku w:val="0"/>
        <w:overflowPunct w:val="0"/>
        <w:spacing w:line="240" w:lineRule="auto"/>
        <w:ind w:hanging="360"/>
      </w:pPr>
      <w:r>
        <w:t>Engineering /</w:t>
      </w:r>
      <w:r>
        <w:rPr>
          <w:spacing w:val="-3"/>
        </w:rPr>
        <w:t xml:space="preserve"> </w:t>
      </w:r>
      <w:r>
        <w:t>Design</w:t>
      </w:r>
    </w:p>
    <w:p w14:paraId="4E475B1A" w14:textId="77777777" w:rsidR="00EE6075" w:rsidRDefault="00D73B0A">
      <w:pPr>
        <w:pStyle w:val="ListParagraph"/>
        <w:numPr>
          <w:ilvl w:val="1"/>
          <w:numId w:val="3"/>
        </w:numPr>
        <w:tabs>
          <w:tab w:val="left" w:pos="1109"/>
        </w:tabs>
        <w:kinsoku w:val="0"/>
        <w:overflowPunct w:val="0"/>
        <w:spacing w:before="8" w:line="274" w:lineRule="exact"/>
        <w:ind w:right="319" w:hanging="360"/>
      </w:pPr>
      <w:r>
        <w:t>Project coordination with plan detailing intended operations, equipment, and scheduling.</w:t>
      </w:r>
    </w:p>
    <w:p w14:paraId="227EDFF8" w14:textId="77777777" w:rsidR="00EE6075" w:rsidRDefault="00D73B0A">
      <w:pPr>
        <w:pStyle w:val="ListParagraph"/>
        <w:numPr>
          <w:ilvl w:val="1"/>
          <w:numId w:val="3"/>
        </w:numPr>
        <w:tabs>
          <w:tab w:val="left" w:pos="1109"/>
        </w:tabs>
        <w:kinsoku w:val="0"/>
        <w:overflowPunct w:val="0"/>
        <w:spacing w:line="273" w:lineRule="exact"/>
        <w:ind w:hanging="360"/>
      </w:pPr>
      <w:r>
        <w:t>Demolition and removal of two city owned</w:t>
      </w:r>
      <w:r>
        <w:rPr>
          <w:spacing w:val="-16"/>
        </w:rPr>
        <w:t xml:space="preserve"> </w:t>
      </w:r>
      <w:r>
        <w:t>buildings.</w:t>
      </w:r>
    </w:p>
    <w:p w14:paraId="7862F9AB" w14:textId="77777777" w:rsidR="00EE6075" w:rsidRDefault="00D73B0A">
      <w:pPr>
        <w:pStyle w:val="ListParagraph"/>
        <w:numPr>
          <w:ilvl w:val="1"/>
          <w:numId w:val="3"/>
        </w:numPr>
        <w:tabs>
          <w:tab w:val="left" w:pos="1109"/>
        </w:tabs>
        <w:kinsoku w:val="0"/>
        <w:overflowPunct w:val="0"/>
        <w:spacing w:line="275" w:lineRule="exact"/>
        <w:ind w:hanging="360"/>
      </w:pPr>
      <w:r>
        <w:t>Protection of adjoining</w:t>
      </w:r>
      <w:r>
        <w:rPr>
          <w:spacing w:val="-8"/>
        </w:rPr>
        <w:t xml:space="preserve"> </w:t>
      </w:r>
      <w:r>
        <w:t>properties.</w:t>
      </w:r>
    </w:p>
    <w:p w14:paraId="08110764" w14:textId="77777777" w:rsidR="00EE6075" w:rsidRDefault="00D73B0A">
      <w:pPr>
        <w:pStyle w:val="ListParagraph"/>
        <w:numPr>
          <w:ilvl w:val="1"/>
          <w:numId w:val="3"/>
        </w:numPr>
        <w:tabs>
          <w:tab w:val="left" w:pos="1109"/>
        </w:tabs>
        <w:kinsoku w:val="0"/>
        <w:overflowPunct w:val="0"/>
        <w:spacing w:before="2" w:line="275" w:lineRule="exact"/>
        <w:ind w:hanging="360"/>
      </w:pPr>
      <w:r>
        <w:t>Proper fill and capping (concrete) of remaining vacant</w:t>
      </w:r>
      <w:r>
        <w:rPr>
          <w:spacing w:val="-18"/>
        </w:rPr>
        <w:t xml:space="preserve"> </w:t>
      </w:r>
      <w:r>
        <w:t>properties.</w:t>
      </w:r>
    </w:p>
    <w:p w14:paraId="10553AF5" w14:textId="77777777" w:rsidR="00EE6075" w:rsidRDefault="00D73B0A">
      <w:pPr>
        <w:pStyle w:val="ListParagraph"/>
        <w:numPr>
          <w:ilvl w:val="1"/>
          <w:numId w:val="3"/>
        </w:numPr>
        <w:tabs>
          <w:tab w:val="left" w:pos="1109"/>
        </w:tabs>
        <w:kinsoku w:val="0"/>
        <w:overflowPunct w:val="0"/>
        <w:spacing w:line="275" w:lineRule="exact"/>
        <w:ind w:hanging="360"/>
      </w:pPr>
      <w:r>
        <w:t>Bonding, insurance, and</w:t>
      </w:r>
      <w:r>
        <w:rPr>
          <w:spacing w:val="-10"/>
        </w:rPr>
        <w:t xml:space="preserve"> </w:t>
      </w:r>
      <w:r>
        <w:t>permitting.</w:t>
      </w:r>
    </w:p>
    <w:p w14:paraId="30C38240" w14:textId="77777777" w:rsidR="00EE6075" w:rsidRDefault="00EE6075">
      <w:pPr>
        <w:pStyle w:val="BodyText"/>
        <w:kinsoku w:val="0"/>
        <w:overflowPunct w:val="0"/>
      </w:pPr>
    </w:p>
    <w:p w14:paraId="5768A265" w14:textId="77777777" w:rsidR="00EE6075" w:rsidRDefault="00D73B0A">
      <w:pPr>
        <w:pStyle w:val="BodyText"/>
        <w:kinsoku w:val="0"/>
        <w:overflowPunct w:val="0"/>
        <w:spacing w:line="242" w:lineRule="auto"/>
        <w:ind w:left="120"/>
      </w:pPr>
      <w:r>
        <w:t>The required services are for two buildings located at 90 and 109 W US Highway 54 Camdenton Missouri 65020.</w:t>
      </w:r>
    </w:p>
    <w:p w14:paraId="642AF207" w14:textId="77777777" w:rsidR="00EE6075" w:rsidRDefault="00EE6075">
      <w:pPr>
        <w:pStyle w:val="BodyText"/>
        <w:kinsoku w:val="0"/>
        <w:overflowPunct w:val="0"/>
        <w:spacing w:before="8"/>
        <w:rPr>
          <w:sz w:val="23"/>
          <w:szCs w:val="23"/>
        </w:rPr>
      </w:pPr>
    </w:p>
    <w:p w14:paraId="5E93E19D" w14:textId="77777777" w:rsidR="00EE6075" w:rsidRDefault="00D73B0A">
      <w:pPr>
        <w:pStyle w:val="BodyText"/>
        <w:kinsoku w:val="0"/>
        <w:overflowPunct w:val="0"/>
        <w:ind w:left="120"/>
      </w:pPr>
      <w:r>
        <w:t>Special considerations:</w:t>
      </w:r>
    </w:p>
    <w:p w14:paraId="6A433387" w14:textId="77777777" w:rsidR="00EE6075" w:rsidRDefault="00EE6075">
      <w:pPr>
        <w:pStyle w:val="BodyText"/>
        <w:kinsoku w:val="0"/>
        <w:overflowPunct w:val="0"/>
        <w:spacing w:before="10"/>
        <w:rPr>
          <w:sz w:val="23"/>
          <w:szCs w:val="23"/>
        </w:rPr>
      </w:pPr>
    </w:p>
    <w:p w14:paraId="2F1CA6AC" w14:textId="77777777" w:rsidR="00EE6075" w:rsidRDefault="00D73B0A">
      <w:pPr>
        <w:pStyle w:val="ListParagraph"/>
        <w:numPr>
          <w:ilvl w:val="0"/>
          <w:numId w:val="2"/>
        </w:numPr>
        <w:tabs>
          <w:tab w:val="left" w:pos="1109"/>
        </w:tabs>
        <w:kinsoku w:val="0"/>
        <w:overflowPunct w:val="0"/>
        <w:spacing w:before="1" w:line="275" w:lineRule="exact"/>
        <w:ind w:hanging="360"/>
        <w:rPr>
          <w:color w:val="000000"/>
        </w:rPr>
      </w:pPr>
      <w:r>
        <w:t>Building MAY have shared or adjoining walls with other</w:t>
      </w:r>
      <w:r>
        <w:rPr>
          <w:spacing w:val="-21"/>
        </w:rPr>
        <w:t xml:space="preserve"> </w:t>
      </w:r>
      <w:r>
        <w:t>businesses/buildings.</w:t>
      </w:r>
    </w:p>
    <w:p w14:paraId="7932EC26" w14:textId="77777777" w:rsidR="00EE6075" w:rsidRDefault="00D73B0A">
      <w:pPr>
        <w:pStyle w:val="ListParagraph"/>
        <w:numPr>
          <w:ilvl w:val="0"/>
          <w:numId w:val="2"/>
        </w:numPr>
        <w:tabs>
          <w:tab w:val="left" w:pos="1109"/>
        </w:tabs>
        <w:kinsoku w:val="0"/>
        <w:overflowPunct w:val="0"/>
        <w:spacing w:line="242" w:lineRule="auto"/>
        <w:ind w:right="314" w:hanging="360"/>
        <w:rPr>
          <w:color w:val="000000"/>
        </w:rPr>
      </w:pPr>
      <w:r>
        <w:t>Portions of the property MAY have asbestos removal needed (see attached report).</w:t>
      </w:r>
    </w:p>
    <w:p w14:paraId="319A5B93" w14:textId="77777777" w:rsidR="00EE6075" w:rsidRDefault="00D73B0A">
      <w:pPr>
        <w:pStyle w:val="ListParagraph"/>
        <w:numPr>
          <w:ilvl w:val="0"/>
          <w:numId w:val="2"/>
        </w:numPr>
        <w:tabs>
          <w:tab w:val="left" w:pos="1109"/>
        </w:tabs>
        <w:kinsoku w:val="0"/>
        <w:overflowPunct w:val="0"/>
        <w:spacing w:line="242" w:lineRule="auto"/>
        <w:ind w:right="314" w:hanging="360"/>
        <w:rPr>
          <w:color w:val="000000"/>
        </w:rPr>
      </w:pPr>
      <w:r>
        <w:t>Property MAY have mold in basement areas (see attached report and pictures).</w:t>
      </w:r>
    </w:p>
    <w:p w14:paraId="09B7F44B" w14:textId="620DC9BB" w:rsidR="00EE6075" w:rsidRPr="006370C3" w:rsidRDefault="006370C3">
      <w:pPr>
        <w:pStyle w:val="ListParagraph"/>
        <w:numPr>
          <w:ilvl w:val="0"/>
          <w:numId w:val="2"/>
        </w:numPr>
        <w:tabs>
          <w:tab w:val="left" w:pos="1109"/>
        </w:tabs>
        <w:kinsoku w:val="0"/>
        <w:overflowPunct w:val="0"/>
        <w:spacing w:line="242" w:lineRule="auto"/>
        <w:ind w:right="324" w:hanging="360"/>
      </w:pPr>
      <w:r w:rsidRPr="006370C3">
        <w:t>Contractor takes ownership of any and all contents</w:t>
      </w:r>
    </w:p>
    <w:p w14:paraId="4690760D" w14:textId="039AB344" w:rsidR="006370C3" w:rsidRDefault="006370C3">
      <w:pPr>
        <w:pStyle w:val="ListParagraph"/>
        <w:numPr>
          <w:ilvl w:val="0"/>
          <w:numId w:val="2"/>
        </w:numPr>
        <w:tabs>
          <w:tab w:val="left" w:pos="1109"/>
        </w:tabs>
        <w:kinsoku w:val="0"/>
        <w:overflowPunct w:val="0"/>
        <w:spacing w:line="247" w:lineRule="auto"/>
        <w:ind w:right="321" w:hanging="360"/>
        <w:rPr>
          <w:color w:val="000000"/>
        </w:rPr>
      </w:pPr>
      <w:r>
        <w:rPr>
          <w:color w:val="000000"/>
        </w:rPr>
        <w:t>Buildings a mix of materials to possibly include; brick, concrete, steel, wood, plaster, drywall</w:t>
      </w:r>
    </w:p>
    <w:p w14:paraId="7B3992D3" w14:textId="379EFEAB" w:rsidR="006370C3" w:rsidRDefault="006370C3">
      <w:pPr>
        <w:pStyle w:val="ListParagraph"/>
        <w:numPr>
          <w:ilvl w:val="0"/>
          <w:numId w:val="2"/>
        </w:numPr>
        <w:tabs>
          <w:tab w:val="left" w:pos="1109"/>
        </w:tabs>
        <w:kinsoku w:val="0"/>
        <w:overflowPunct w:val="0"/>
        <w:spacing w:line="247" w:lineRule="auto"/>
        <w:ind w:right="321" w:hanging="360"/>
        <w:rPr>
          <w:color w:val="000000"/>
        </w:rPr>
      </w:pPr>
      <w:r>
        <w:rPr>
          <w:color w:val="000000"/>
        </w:rPr>
        <w:t>Rough estimate of costs ranging from $50,000.00 to $100,000.00 but may change.</w:t>
      </w:r>
    </w:p>
    <w:p w14:paraId="699CBEAF" w14:textId="77777777" w:rsidR="006370C3" w:rsidRPr="006370C3" w:rsidRDefault="006370C3" w:rsidP="006370C3">
      <w:pPr>
        <w:pStyle w:val="ListParagraph"/>
        <w:tabs>
          <w:tab w:val="left" w:pos="1109"/>
        </w:tabs>
        <w:kinsoku w:val="0"/>
        <w:overflowPunct w:val="0"/>
        <w:spacing w:line="247" w:lineRule="auto"/>
        <w:ind w:right="321"/>
        <w:rPr>
          <w:color w:val="000000"/>
        </w:rPr>
      </w:pPr>
    </w:p>
    <w:p w14:paraId="6DD8B12F" w14:textId="77777777" w:rsidR="00EE6075" w:rsidRDefault="00D73B0A">
      <w:pPr>
        <w:pStyle w:val="BodyText"/>
        <w:kinsoku w:val="0"/>
        <w:overflowPunct w:val="0"/>
        <w:spacing w:line="274" w:lineRule="exact"/>
        <w:ind w:left="119" w:hanging="1"/>
      </w:pPr>
      <w:r>
        <w:t>A qualification-based selection process will be utilized to select the most qualified firm. Selection criteria will include:</w:t>
      </w:r>
    </w:p>
    <w:p w14:paraId="2D124D1D" w14:textId="77777777" w:rsidR="00EE6075" w:rsidRDefault="00EE6075">
      <w:pPr>
        <w:pStyle w:val="BodyText"/>
        <w:kinsoku w:val="0"/>
        <w:overflowPunct w:val="0"/>
        <w:spacing w:before="5"/>
        <w:rPr>
          <w:sz w:val="23"/>
          <w:szCs w:val="23"/>
        </w:rPr>
      </w:pPr>
    </w:p>
    <w:p w14:paraId="322520E3" w14:textId="77777777" w:rsidR="00EE6075" w:rsidRDefault="00D73B0A">
      <w:pPr>
        <w:pStyle w:val="ListParagraph"/>
        <w:numPr>
          <w:ilvl w:val="0"/>
          <w:numId w:val="1"/>
        </w:numPr>
        <w:tabs>
          <w:tab w:val="left" w:pos="841"/>
        </w:tabs>
        <w:kinsoku w:val="0"/>
        <w:overflowPunct w:val="0"/>
        <w:ind w:hanging="360"/>
        <w:rPr>
          <w:rFonts w:ascii="Symbol" w:hAnsi="Symbol" w:cs="Symbol"/>
          <w:color w:val="000000"/>
        </w:rPr>
      </w:pPr>
      <w:r>
        <w:t>Recent experience in demolition</w:t>
      </w:r>
      <w:r>
        <w:rPr>
          <w:spacing w:val="-11"/>
        </w:rPr>
        <w:t xml:space="preserve"> </w:t>
      </w:r>
      <w:r>
        <w:t>projects</w:t>
      </w:r>
    </w:p>
    <w:p w14:paraId="556B65A7" w14:textId="77777777" w:rsidR="00EE6075" w:rsidRDefault="00D73B0A">
      <w:pPr>
        <w:pStyle w:val="ListParagraph"/>
        <w:numPr>
          <w:ilvl w:val="0"/>
          <w:numId w:val="1"/>
        </w:numPr>
        <w:tabs>
          <w:tab w:val="left" w:pos="841"/>
        </w:tabs>
        <w:kinsoku w:val="0"/>
        <w:overflowPunct w:val="0"/>
        <w:ind w:hanging="360"/>
        <w:rPr>
          <w:rFonts w:ascii="Symbol" w:hAnsi="Symbol" w:cs="Symbol"/>
          <w:color w:val="000000"/>
        </w:rPr>
      </w:pPr>
      <w:r>
        <w:t>Capability to perform all aspects of project in a timely</w:t>
      </w:r>
      <w:r>
        <w:rPr>
          <w:spacing w:val="-22"/>
        </w:rPr>
        <w:t xml:space="preserve"> </w:t>
      </w:r>
      <w:r>
        <w:t>manner</w:t>
      </w:r>
    </w:p>
    <w:p w14:paraId="4D2E3816" w14:textId="600B106B" w:rsidR="00EE6075" w:rsidRDefault="006370C3" w:rsidP="006370C3">
      <w:pPr>
        <w:pStyle w:val="ListParagraph"/>
        <w:numPr>
          <w:ilvl w:val="0"/>
          <w:numId w:val="1"/>
        </w:numPr>
        <w:tabs>
          <w:tab w:val="left" w:pos="840"/>
          <w:tab w:val="left" w:pos="3839"/>
        </w:tabs>
        <w:kinsoku w:val="0"/>
        <w:overflowPunct w:val="0"/>
        <w:spacing w:line="240" w:lineRule="auto"/>
        <w:ind w:right="321" w:hanging="360"/>
        <w:rPr>
          <w:rFonts w:ascii="Symbol" w:hAnsi="Symbol" w:cs="Symbol"/>
          <w:color w:val="FF0000"/>
        </w:rPr>
      </w:pPr>
      <w:r>
        <w:rPr>
          <w:color w:val="000000"/>
        </w:rPr>
        <w:t>Ability to</w:t>
      </w:r>
      <w:r w:rsidR="00D73B0A">
        <w:rPr>
          <w:color w:val="000000"/>
          <w:spacing w:val="13"/>
        </w:rPr>
        <w:t xml:space="preserve"> </w:t>
      </w:r>
      <w:r w:rsidR="00D73B0A">
        <w:rPr>
          <w:color w:val="000000"/>
        </w:rPr>
        <w:t>meet</w:t>
      </w:r>
      <w:r w:rsidR="00D73B0A">
        <w:rPr>
          <w:color w:val="000000"/>
          <w:spacing w:val="42"/>
        </w:rPr>
        <w:t xml:space="preserve"> </w:t>
      </w:r>
      <w:r w:rsidR="00D73B0A">
        <w:rPr>
          <w:color w:val="000000"/>
        </w:rPr>
        <w:t>schedules</w:t>
      </w:r>
      <w:r w:rsidR="00D73B0A">
        <w:rPr>
          <w:rFonts w:ascii="Times New Roman" w:hAnsi="Times New Roman" w:cs="Times New Roman"/>
          <w:color w:val="000000"/>
        </w:rPr>
        <w:tab/>
      </w:r>
    </w:p>
    <w:p w14:paraId="012A906B" w14:textId="77777777" w:rsidR="00EE6075" w:rsidRDefault="00D73B0A">
      <w:pPr>
        <w:pStyle w:val="ListParagraph"/>
        <w:numPr>
          <w:ilvl w:val="0"/>
          <w:numId w:val="1"/>
        </w:numPr>
        <w:tabs>
          <w:tab w:val="left" w:pos="841"/>
        </w:tabs>
        <w:kinsoku w:val="0"/>
        <w:overflowPunct w:val="0"/>
        <w:ind w:hanging="360"/>
        <w:rPr>
          <w:rFonts w:ascii="Symbol" w:hAnsi="Symbol" w:cs="Symbol"/>
          <w:color w:val="000000"/>
        </w:rPr>
      </w:pPr>
      <w:r>
        <w:t>Personnel experience and</w:t>
      </w:r>
      <w:r>
        <w:rPr>
          <w:spacing w:val="-8"/>
        </w:rPr>
        <w:t xml:space="preserve"> </w:t>
      </w:r>
      <w:r>
        <w:t>qualifications</w:t>
      </w:r>
    </w:p>
    <w:p w14:paraId="468A1A06" w14:textId="7D45C1EE" w:rsidR="006370C3" w:rsidRPr="006370C3" w:rsidRDefault="006370C3">
      <w:pPr>
        <w:pStyle w:val="ListParagraph"/>
        <w:numPr>
          <w:ilvl w:val="0"/>
          <w:numId w:val="1"/>
        </w:numPr>
        <w:tabs>
          <w:tab w:val="left" w:pos="840"/>
        </w:tabs>
        <w:kinsoku w:val="0"/>
        <w:overflowPunct w:val="0"/>
        <w:spacing w:line="289" w:lineRule="exact"/>
        <w:ind w:left="839" w:hanging="359"/>
        <w:rPr>
          <w:rFonts w:ascii="Symbol" w:hAnsi="Symbol" w:cs="Symbol"/>
          <w:color w:val="000000"/>
        </w:rPr>
      </w:pPr>
      <w:r>
        <w:rPr>
          <w:rFonts w:ascii="Times New Roman" w:hAnsi="Times New Roman" w:cs="Times New Roman"/>
          <w:color w:val="000000"/>
        </w:rPr>
        <w:t>Years in Business</w:t>
      </w:r>
    </w:p>
    <w:p w14:paraId="7E392EFF" w14:textId="2381D30B" w:rsidR="00EE6075" w:rsidRDefault="00D73B0A">
      <w:pPr>
        <w:pStyle w:val="ListParagraph"/>
        <w:numPr>
          <w:ilvl w:val="0"/>
          <w:numId w:val="1"/>
        </w:numPr>
        <w:tabs>
          <w:tab w:val="left" w:pos="840"/>
        </w:tabs>
        <w:kinsoku w:val="0"/>
        <w:overflowPunct w:val="0"/>
        <w:spacing w:line="289" w:lineRule="exact"/>
        <w:ind w:left="839" w:hanging="359"/>
        <w:rPr>
          <w:rFonts w:ascii="Symbol" w:hAnsi="Symbol" w:cs="Symbol"/>
          <w:color w:val="000000"/>
        </w:rPr>
      </w:pPr>
      <w:r>
        <w:t>An implemented Affirmative Action</w:t>
      </w:r>
      <w:r>
        <w:rPr>
          <w:spacing w:val="-13"/>
        </w:rPr>
        <w:t xml:space="preserve"> </w:t>
      </w:r>
      <w:r>
        <w:t>Program</w:t>
      </w:r>
    </w:p>
    <w:p w14:paraId="4D09D936" w14:textId="7BED2F30" w:rsidR="00EE6075" w:rsidRPr="006370C3" w:rsidRDefault="006370C3" w:rsidP="00D17BBA">
      <w:pPr>
        <w:pStyle w:val="ListParagraph"/>
        <w:numPr>
          <w:ilvl w:val="0"/>
          <w:numId w:val="1"/>
        </w:numPr>
        <w:tabs>
          <w:tab w:val="left" w:pos="841"/>
        </w:tabs>
        <w:kinsoku w:val="0"/>
        <w:overflowPunct w:val="0"/>
      </w:pPr>
      <w:r>
        <w:t xml:space="preserve">Proper </w:t>
      </w:r>
      <w:r w:rsidR="00D17BBA">
        <w:t>Bonding and Insurance.</w:t>
      </w:r>
      <w:r w:rsidR="00D73B0A" w:rsidRPr="006370C3">
        <w:t xml:space="preserve">  </w:t>
      </w:r>
      <w:r w:rsidR="007777F4">
        <w:t>Bonding a</w:t>
      </w:r>
      <w:r w:rsidR="00D17BBA">
        <w:t>mount</w:t>
      </w:r>
      <w:r w:rsidR="007777F4">
        <w:t xml:space="preserve"> to be</w:t>
      </w:r>
      <w:r w:rsidR="00D17BBA">
        <w:t xml:space="preserve"> for</w:t>
      </w:r>
      <w:r w:rsidRPr="006370C3">
        <w:t xml:space="preserve"> total of contract. City </w:t>
      </w:r>
      <w:r w:rsidR="007777F4">
        <w:t xml:space="preserve">of Camdenton to be named on Contractor’s </w:t>
      </w:r>
      <w:r w:rsidR="001B10BE">
        <w:t xml:space="preserve">insurance </w:t>
      </w:r>
      <w:r w:rsidR="007777F4">
        <w:t>policy as also</w:t>
      </w:r>
      <w:r w:rsidRPr="006370C3">
        <w:t xml:space="preserve"> insur</w:t>
      </w:r>
      <w:bookmarkStart w:id="0" w:name="_GoBack"/>
      <w:bookmarkEnd w:id="0"/>
      <w:r w:rsidRPr="006370C3">
        <w:t>e</w:t>
      </w:r>
      <w:r w:rsidR="007777F4">
        <w:t>d</w:t>
      </w:r>
      <w:r w:rsidRPr="006370C3">
        <w:t xml:space="preserve">. </w:t>
      </w:r>
    </w:p>
    <w:p w14:paraId="0DDEC124" w14:textId="77777777" w:rsidR="00EE6075" w:rsidRDefault="00D73B0A">
      <w:pPr>
        <w:pStyle w:val="ListParagraph"/>
        <w:numPr>
          <w:ilvl w:val="0"/>
          <w:numId w:val="1"/>
        </w:numPr>
        <w:tabs>
          <w:tab w:val="left" w:pos="821"/>
        </w:tabs>
        <w:kinsoku w:val="0"/>
        <w:overflowPunct w:val="0"/>
        <w:spacing w:line="240" w:lineRule="auto"/>
        <w:ind w:left="820" w:right="113" w:hanging="360"/>
        <w:rPr>
          <w:rFonts w:ascii="Symbol" w:hAnsi="Symbol" w:cs="Symbol"/>
          <w:color w:val="000000"/>
        </w:rPr>
      </w:pPr>
      <w:r>
        <w:t>Specifics of concrete cap design, surface drainage, and other technical aspects to be negotiated as part of the contract</w:t>
      </w:r>
      <w:r>
        <w:rPr>
          <w:spacing w:val="-24"/>
        </w:rPr>
        <w:t xml:space="preserve"> </w:t>
      </w:r>
      <w:r>
        <w:t>process</w:t>
      </w:r>
    </w:p>
    <w:p w14:paraId="35A4315C" w14:textId="77777777" w:rsidR="00EE6075" w:rsidRDefault="00EE6075">
      <w:pPr>
        <w:pStyle w:val="BodyText"/>
        <w:kinsoku w:val="0"/>
        <w:overflowPunct w:val="0"/>
        <w:spacing w:before="5"/>
      </w:pPr>
    </w:p>
    <w:p w14:paraId="7706617F" w14:textId="77777777" w:rsidR="00EE6075" w:rsidRDefault="00D73B0A">
      <w:pPr>
        <w:pStyle w:val="BodyText"/>
        <w:kinsoku w:val="0"/>
        <w:overflowPunct w:val="0"/>
        <w:spacing w:line="274" w:lineRule="exact"/>
        <w:ind w:left="100" w:right="115"/>
        <w:jc w:val="both"/>
        <w:rPr>
          <w:b/>
          <w:bCs/>
        </w:rPr>
      </w:pPr>
      <w:r>
        <w:lastRenderedPageBreak/>
        <w:t xml:space="preserve">Fees will be negotiated for project after selection. </w:t>
      </w:r>
      <w:r>
        <w:rPr>
          <w:b/>
          <w:bCs/>
        </w:rPr>
        <w:t>Applicants shall not include fee or cost information when responding to this solicitation.</w:t>
      </w:r>
    </w:p>
    <w:p w14:paraId="4AD7457D" w14:textId="77777777" w:rsidR="00EE6075" w:rsidRDefault="00EE6075">
      <w:pPr>
        <w:pStyle w:val="BodyText"/>
        <w:kinsoku w:val="0"/>
        <w:overflowPunct w:val="0"/>
        <w:rPr>
          <w:b/>
          <w:bCs/>
        </w:rPr>
      </w:pPr>
    </w:p>
    <w:p w14:paraId="3F91AC18" w14:textId="77777777" w:rsidR="00EE6075" w:rsidRDefault="00D73B0A">
      <w:pPr>
        <w:pStyle w:val="BodyText"/>
        <w:kinsoku w:val="0"/>
        <w:overflowPunct w:val="0"/>
        <w:spacing w:before="1" w:line="242" w:lineRule="auto"/>
        <w:ind w:left="100" w:right="114"/>
        <w:jc w:val="both"/>
      </w:pPr>
      <w:r>
        <w:t>Prospective applicants are advised that this contract is subject to all applicable City and State laws, which include, but are not limited to:</w:t>
      </w:r>
    </w:p>
    <w:p w14:paraId="5283ECD5" w14:textId="77777777" w:rsidR="00EE6075" w:rsidRDefault="00EE6075">
      <w:pPr>
        <w:pStyle w:val="BodyText"/>
        <w:kinsoku w:val="0"/>
        <w:overflowPunct w:val="0"/>
        <w:spacing w:before="7"/>
        <w:rPr>
          <w:sz w:val="23"/>
          <w:szCs w:val="23"/>
        </w:rPr>
      </w:pPr>
    </w:p>
    <w:p w14:paraId="2A219899" w14:textId="77777777" w:rsidR="00EE6075" w:rsidRDefault="00D73B0A">
      <w:pPr>
        <w:pStyle w:val="ListParagraph"/>
        <w:numPr>
          <w:ilvl w:val="0"/>
          <w:numId w:val="1"/>
        </w:numPr>
        <w:tabs>
          <w:tab w:val="left" w:pos="821"/>
        </w:tabs>
        <w:kinsoku w:val="0"/>
        <w:overflowPunct w:val="0"/>
        <w:ind w:left="820" w:hanging="360"/>
        <w:rPr>
          <w:rFonts w:ascii="Symbol" w:hAnsi="Symbol" w:cs="Symbol"/>
          <w:color w:val="000000"/>
        </w:rPr>
      </w:pPr>
      <w:r>
        <w:t>RSMo. 285.530 Participation in</w:t>
      </w:r>
      <w:r>
        <w:rPr>
          <w:spacing w:val="-15"/>
        </w:rPr>
        <w:t xml:space="preserve"> </w:t>
      </w:r>
      <w:r>
        <w:t>E-Verify</w:t>
      </w:r>
    </w:p>
    <w:p w14:paraId="65E7EAAA" w14:textId="77777777" w:rsidR="00EE6075" w:rsidRDefault="00D73B0A">
      <w:pPr>
        <w:pStyle w:val="ListParagraph"/>
        <w:numPr>
          <w:ilvl w:val="0"/>
          <w:numId w:val="1"/>
        </w:numPr>
        <w:tabs>
          <w:tab w:val="left" w:pos="821"/>
        </w:tabs>
        <w:kinsoku w:val="0"/>
        <w:overflowPunct w:val="0"/>
        <w:spacing w:line="281" w:lineRule="exact"/>
        <w:ind w:left="820" w:hanging="360"/>
        <w:rPr>
          <w:rFonts w:ascii="Symbol" w:hAnsi="Symbol" w:cs="Symbol"/>
          <w:color w:val="000000"/>
        </w:rPr>
      </w:pPr>
      <w:r>
        <w:t xml:space="preserve">RSMo. 34.057 The </w:t>
      </w:r>
      <w:r>
        <w:rPr>
          <w:spacing w:val="-3"/>
        </w:rPr>
        <w:t xml:space="preserve">Prompt </w:t>
      </w:r>
      <w:r>
        <w:t>Payment</w:t>
      </w:r>
      <w:r>
        <w:rPr>
          <w:spacing w:val="-3"/>
        </w:rPr>
        <w:t xml:space="preserve"> </w:t>
      </w:r>
      <w:r>
        <w:t>Act.</w:t>
      </w:r>
    </w:p>
    <w:p w14:paraId="0D2267BC" w14:textId="77777777" w:rsidR="00EE6075" w:rsidRDefault="00D73B0A">
      <w:pPr>
        <w:pStyle w:val="ListParagraph"/>
        <w:numPr>
          <w:ilvl w:val="0"/>
          <w:numId w:val="1"/>
        </w:numPr>
        <w:tabs>
          <w:tab w:val="left" w:pos="821"/>
        </w:tabs>
        <w:kinsoku w:val="0"/>
        <w:overflowPunct w:val="0"/>
        <w:spacing w:line="264" w:lineRule="exact"/>
        <w:ind w:left="820" w:hanging="360"/>
        <w:rPr>
          <w:rFonts w:ascii="Symbol" w:hAnsi="Symbol" w:cs="Symbol"/>
          <w:color w:val="000000"/>
        </w:rPr>
      </w:pPr>
      <w:r>
        <w:t>RSMo. 34.353 Purchase American</w:t>
      </w:r>
      <w:r>
        <w:rPr>
          <w:spacing w:val="-15"/>
        </w:rPr>
        <w:t xml:space="preserve"> </w:t>
      </w:r>
      <w:r>
        <w:t>Products</w:t>
      </w:r>
    </w:p>
    <w:p w14:paraId="7BF240F4" w14:textId="77777777" w:rsidR="00EE6075" w:rsidRDefault="00D73B0A">
      <w:pPr>
        <w:pStyle w:val="ListParagraph"/>
        <w:numPr>
          <w:ilvl w:val="0"/>
          <w:numId w:val="1"/>
        </w:numPr>
        <w:tabs>
          <w:tab w:val="left" w:pos="821"/>
        </w:tabs>
        <w:kinsoku w:val="0"/>
        <w:overflowPunct w:val="0"/>
        <w:spacing w:line="277" w:lineRule="exact"/>
        <w:ind w:left="820" w:hanging="360"/>
        <w:rPr>
          <w:rFonts w:ascii="Symbol" w:hAnsi="Symbol" w:cs="Symbol"/>
          <w:color w:val="000000"/>
        </w:rPr>
      </w:pPr>
      <w:r>
        <w:t>RSMo. 290 Regarding prevailing wage</w:t>
      </w:r>
      <w:r>
        <w:rPr>
          <w:spacing w:val="-30"/>
        </w:rPr>
        <w:t xml:space="preserve"> </w:t>
      </w:r>
      <w:r>
        <w:t>requirements</w:t>
      </w:r>
    </w:p>
    <w:p w14:paraId="17B2D08C" w14:textId="6DC060F4" w:rsidR="006370C3" w:rsidRDefault="00D73B0A" w:rsidP="006370C3">
      <w:pPr>
        <w:pStyle w:val="BodyText"/>
        <w:kinsoku w:val="0"/>
        <w:overflowPunct w:val="0"/>
        <w:spacing w:before="250"/>
        <w:ind w:left="100" w:right="113"/>
        <w:jc w:val="both"/>
        <w:rPr>
          <w:color w:val="000000"/>
        </w:rPr>
      </w:pPr>
      <w:r>
        <w:t xml:space="preserve">Each entity submitting their qualifications may visit the worksite as needed to become familiar with the project to complete the requested demolition. The City will attempt to allow entities to inspect the property as may safely be accomplished. Portions of the building(s) may not be safely accessible. Each </w:t>
      </w:r>
      <w:r w:rsidR="00D17BBA">
        <w:t>entity submitting their</w:t>
      </w:r>
      <w:r>
        <w:t xml:space="preserve"> qualifications shall, to the greatest extent possible, become familiar with existing structures, adjoining structures, utilities, above and below ground conditions prior to submitting qualifications. </w:t>
      </w:r>
    </w:p>
    <w:p w14:paraId="41F740BC" w14:textId="5EDBDC03" w:rsidR="00EE6075" w:rsidRDefault="00D73B0A">
      <w:pPr>
        <w:pStyle w:val="BodyText"/>
        <w:kinsoku w:val="0"/>
        <w:overflowPunct w:val="0"/>
        <w:spacing w:before="11" w:line="230" w:lineRule="auto"/>
        <w:ind w:left="100" w:right="117"/>
        <w:jc w:val="both"/>
        <w:rPr>
          <w:color w:val="FF0000"/>
        </w:rPr>
      </w:pPr>
      <w:r>
        <w:rPr>
          <w:color w:val="000000"/>
        </w:rPr>
        <w:t xml:space="preserve">Site visits can be arranged by appointment only by contacting Building Official Mike Wackerman at 573-346-3600. </w:t>
      </w:r>
    </w:p>
    <w:p w14:paraId="457B36C7" w14:textId="77777777" w:rsidR="00EE6075" w:rsidRDefault="00EE6075">
      <w:pPr>
        <w:pStyle w:val="BodyText"/>
        <w:kinsoku w:val="0"/>
        <w:overflowPunct w:val="0"/>
        <w:spacing w:before="10"/>
        <w:rPr>
          <w:sz w:val="22"/>
          <w:szCs w:val="22"/>
        </w:rPr>
      </w:pPr>
    </w:p>
    <w:p w14:paraId="22F138E7" w14:textId="1C1ED293" w:rsidR="00EE6075" w:rsidRDefault="00D73B0A">
      <w:pPr>
        <w:pStyle w:val="BodyText"/>
        <w:kinsoku w:val="0"/>
        <w:overflowPunct w:val="0"/>
        <w:ind w:left="100" w:right="113"/>
        <w:jc w:val="both"/>
      </w:pPr>
      <w:r>
        <w:t xml:space="preserve">Process: The City of Camdenton will choose 3 to 5 (based on submissions) </w:t>
      </w:r>
      <w:r w:rsidR="00D17BBA">
        <w:t>applicants to</w:t>
      </w:r>
      <w:r>
        <w:t xml:space="preserve"> interview. During the interview, the entity being interviewed should be prepared to discuss approximate cost for various aspects of the demolition (demolition, insurance, bonding, </w:t>
      </w:r>
      <w:proofErr w:type="spellStart"/>
      <w:r>
        <w:t>etc</w:t>
      </w:r>
      <w:proofErr w:type="spellEnd"/>
      <w:r>
        <w:t xml:space="preserve">) as well as their specific </w:t>
      </w:r>
      <w:r>
        <w:rPr>
          <w:spacing w:val="-3"/>
        </w:rPr>
        <w:t xml:space="preserve">time </w:t>
      </w:r>
      <w:r>
        <w:t>frame for beginning and completion of the demolition. At the point the City selects the entity to move forward on the project, a specific contract will be entered encompassing these items which shall be negotiated with the selected</w:t>
      </w:r>
      <w:r>
        <w:rPr>
          <w:spacing w:val="-7"/>
        </w:rPr>
        <w:t xml:space="preserve"> </w:t>
      </w:r>
      <w:r>
        <w:t>party.</w:t>
      </w:r>
    </w:p>
    <w:p w14:paraId="1B20A9C5" w14:textId="77777777" w:rsidR="00EE6075" w:rsidRDefault="00EE6075">
      <w:pPr>
        <w:pStyle w:val="BodyText"/>
        <w:kinsoku w:val="0"/>
        <w:overflowPunct w:val="0"/>
        <w:spacing w:before="10"/>
        <w:rPr>
          <w:sz w:val="23"/>
          <w:szCs w:val="23"/>
        </w:rPr>
      </w:pPr>
    </w:p>
    <w:p w14:paraId="4F1DB8B7" w14:textId="257EF10E" w:rsidR="00EE6075" w:rsidRDefault="00D73B0A">
      <w:pPr>
        <w:pStyle w:val="BodyText"/>
        <w:kinsoku w:val="0"/>
        <w:overflowPunct w:val="0"/>
        <w:spacing w:before="1"/>
        <w:ind w:left="100" w:right="113"/>
        <w:jc w:val="both"/>
      </w:pPr>
      <w:r>
        <w:t xml:space="preserve">Demolition applicants should submit three (3) copies of their statement of qualifications and experience along with references </w:t>
      </w:r>
      <w:r>
        <w:rPr>
          <w:spacing w:val="-3"/>
        </w:rPr>
        <w:t xml:space="preserve">to </w:t>
      </w:r>
      <w:r>
        <w:t xml:space="preserve">the following address, no later than 3 </w:t>
      </w:r>
      <w:r>
        <w:rPr>
          <w:spacing w:val="-2"/>
        </w:rPr>
        <w:t xml:space="preserve">PM, </w:t>
      </w:r>
      <w:r>
        <w:t xml:space="preserve">Friday, June 19, 2020. The applicants should also provide an affidavit of </w:t>
      </w:r>
      <w:r w:rsidR="00D17BBA">
        <w:t>compliance with</w:t>
      </w:r>
      <w:r>
        <w:t xml:space="preserve"> the federal work authorization program and a copy of the firm’s E-Verify Memorandum of Understanding. Questions regarding this solicitation can be directed to City Administrator, Jeffrey Hooker at</w:t>
      </w:r>
      <w:r>
        <w:rPr>
          <w:spacing w:val="-24"/>
        </w:rPr>
        <w:t xml:space="preserve"> </w:t>
      </w:r>
      <w:r>
        <w:t>573-346-3600.</w:t>
      </w:r>
    </w:p>
    <w:p w14:paraId="42442FA1" w14:textId="77777777" w:rsidR="00EE6075" w:rsidRDefault="00EE6075">
      <w:pPr>
        <w:pStyle w:val="BodyText"/>
        <w:kinsoku w:val="0"/>
        <w:overflowPunct w:val="0"/>
        <w:spacing w:before="6"/>
        <w:rPr>
          <w:sz w:val="23"/>
          <w:szCs w:val="23"/>
        </w:rPr>
      </w:pPr>
    </w:p>
    <w:p w14:paraId="4CE40396" w14:textId="77777777" w:rsidR="00EE6075" w:rsidRDefault="00D73B0A">
      <w:pPr>
        <w:pStyle w:val="Heading1"/>
        <w:kinsoku w:val="0"/>
        <w:overflowPunct w:val="0"/>
        <w:jc w:val="both"/>
      </w:pPr>
      <w:r>
        <w:t>SUBMIT DOCUMENTS TO:</w:t>
      </w:r>
    </w:p>
    <w:p w14:paraId="2443FC7A" w14:textId="77777777" w:rsidR="00D17BBA" w:rsidRDefault="00D17BBA">
      <w:pPr>
        <w:pStyle w:val="BodyText"/>
        <w:kinsoku w:val="0"/>
        <w:overflowPunct w:val="0"/>
        <w:spacing w:before="2"/>
        <w:ind w:left="100" w:right="7439"/>
      </w:pPr>
      <w:r>
        <w:t>Jeffrey Hooker</w:t>
      </w:r>
    </w:p>
    <w:p w14:paraId="626A7200" w14:textId="098A935D" w:rsidR="00EE6075" w:rsidRDefault="00D73B0A">
      <w:pPr>
        <w:pStyle w:val="BodyText"/>
        <w:kinsoku w:val="0"/>
        <w:overflowPunct w:val="0"/>
        <w:spacing w:before="2"/>
        <w:ind w:left="100" w:right="7439"/>
      </w:pPr>
      <w:r>
        <w:t xml:space="preserve"> City Administrator City of Camdenton 437 W. US Hwy 54</w:t>
      </w:r>
    </w:p>
    <w:p w14:paraId="28A4420B" w14:textId="77777777" w:rsidR="00EE6075" w:rsidRDefault="00D73B0A">
      <w:pPr>
        <w:pStyle w:val="BodyText"/>
        <w:kinsoku w:val="0"/>
        <w:overflowPunct w:val="0"/>
        <w:spacing w:line="274" w:lineRule="exact"/>
        <w:ind w:left="100"/>
        <w:jc w:val="both"/>
      </w:pPr>
      <w:r>
        <w:t>Camdenton, MO 65020</w:t>
      </w:r>
    </w:p>
    <w:sectPr w:rsidR="00EE6075">
      <w:pgSz w:w="12240" w:h="15840"/>
      <w:pgMar w:top="500" w:right="1320" w:bottom="280" w:left="1340" w:header="720" w:footer="720" w:gutter="0"/>
      <w:cols w:space="720" w:equalWidth="0">
        <w:col w:w="95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left="484" w:hanging="365"/>
      </w:pPr>
      <w:rPr>
        <w:rFonts w:ascii="Arial" w:hAnsi="Arial" w:cs="Arial"/>
        <w:b w:val="0"/>
        <w:bCs w:val="0"/>
        <w:spacing w:val="0"/>
        <w:w w:val="99"/>
        <w:sz w:val="24"/>
        <w:szCs w:val="24"/>
      </w:rPr>
    </w:lvl>
    <w:lvl w:ilvl="1">
      <w:start w:val="1"/>
      <w:numFmt w:val="decimal"/>
      <w:lvlText w:val="%2."/>
      <w:lvlJc w:val="left"/>
      <w:pPr>
        <w:ind w:left="1108" w:hanging="361"/>
      </w:pPr>
      <w:rPr>
        <w:rFonts w:ascii="Arial" w:hAnsi="Arial" w:cs="Arial"/>
        <w:b w:val="0"/>
        <w:bCs w:val="0"/>
        <w:spacing w:val="0"/>
        <w:w w:val="99"/>
        <w:sz w:val="24"/>
        <w:szCs w:val="24"/>
      </w:rPr>
    </w:lvl>
    <w:lvl w:ilvl="2">
      <w:numFmt w:val="bullet"/>
      <w:lvlText w:val="•"/>
      <w:lvlJc w:val="left"/>
      <w:pPr>
        <w:ind w:left="2066" w:hanging="361"/>
      </w:pPr>
    </w:lvl>
    <w:lvl w:ilvl="3">
      <w:numFmt w:val="bullet"/>
      <w:lvlText w:val="•"/>
      <w:lvlJc w:val="left"/>
      <w:pPr>
        <w:ind w:left="3033" w:hanging="361"/>
      </w:pPr>
    </w:lvl>
    <w:lvl w:ilvl="4">
      <w:numFmt w:val="bullet"/>
      <w:lvlText w:val="•"/>
      <w:lvlJc w:val="left"/>
      <w:pPr>
        <w:ind w:left="4000" w:hanging="361"/>
      </w:pPr>
    </w:lvl>
    <w:lvl w:ilvl="5">
      <w:numFmt w:val="bullet"/>
      <w:lvlText w:val="•"/>
      <w:lvlJc w:val="left"/>
      <w:pPr>
        <w:ind w:left="4966" w:hanging="361"/>
      </w:pPr>
    </w:lvl>
    <w:lvl w:ilvl="6">
      <w:numFmt w:val="bullet"/>
      <w:lvlText w:val="•"/>
      <w:lvlJc w:val="left"/>
      <w:pPr>
        <w:ind w:left="5933" w:hanging="361"/>
      </w:pPr>
    </w:lvl>
    <w:lvl w:ilvl="7">
      <w:numFmt w:val="bullet"/>
      <w:lvlText w:val="•"/>
      <w:lvlJc w:val="left"/>
      <w:pPr>
        <w:ind w:left="6900" w:hanging="361"/>
      </w:pPr>
    </w:lvl>
    <w:lvl w:ilvl="8">
      <w:numFmt w:val="bullet"/>
      <w:lvlText w:val="•"/>
      <w:lvlJc w:val="left"/>
      <w:pPr>
        <w:ind w:left="7866" w:hanging="361"/>
      </w:pPr>
    </w:lvl>
  </w:abstractNum>
  <w:abstractNum w:abstractNumId="1">
    <w:nsid w:val="00000403"/>
    <w:multiLevelType w:val="multilevel"/>
    <w:tmpl w:val="00000886"/>
    <w:lvl w:ilvl="0">
      <w:start w:val="1"/>
      <w:numFmt w:val="decimal"/>
      <w:lvlText w:val="%1."/>
      <w:lvlJc w:val="left"/>
      <w:pPr>
        <w:ind w:left="1108" w:hanging="361"/>
      </w:pPr>
      <w:rPr>
        <w:b w:val="0"/>
        <w:bCs w:val="0"/>
        <w:spacing w:val="0"/>
        <w:w w:val="99"/>
      </w:rPr>
    </w:lvl>
    <w:lvl w:ilvl="1">
      <w:numFmt w:val="bullet"/>
      <w:lvlText w:val="•"/>
      <w:lvlJc w:val="left"/>
      <w:pPr>
        <w:ind w:left="1970" w:hanging="361"/>
      </w:pPr>
    </w:lvl>
    <w:lvl w:ilvl="2">
      <w:numFmt w:val="bullet"/>
      <w:lvlText w:val="•"/>
      <w:lvlJc w:val="left"/>
      <w:pPr>
        <w:ind w:left="2840" w:hanging="361"/>
      </w:pPr>
    </w:lvl>
    <w:lvl w:ilvl="3">
      <w:numFmt w:val="bullet"/>
      <w:lvlText w:val="•"/>
      <w:lvlJc w:val="left"/>
      <w:pPr>
        <w:ind w:left="3710" w:hanging="361"/>
      </w:pPr>
    </w:lvl>
    <w:lvl w:ilvl="4">
      <w:numFmt w:val="bullet"/>
      <w:lvlText w:val="•"/>
      <w:lvlJc w:val="left"/>
      <w:pPr>
        <w:ind w:left="4580" w:hanging="361"/>
      </w:pPr>
    </w:lvl>
    <w:lvl w:ilvl="5">
      <w:numFmt w:val="bullet"/>
      <w:lvlText w:val="•"/>
      <w:lvlJc w:val="left"/>
      <w:pPr>
        <w:ind w:left="5450" w:hanging="361"/>
      </w:pPr>
    </w:lvl>
    <w:lvl w:ilvl="6">
      <w:numFmt w:val="bullet"/>
      <w:lvlText w:val="•"/>
      <w:lvlJc w:val="left"/>
      <w:pPr>
        <w:ind w:left="6320" w:hanging="361"/>
      </w:pPr>
    </w:lvl>
    <w:lvl w:ilvl="7">
      <w:numFmt w:val="bullet"/>
      <w:lvlText w:val="•"/>
      <w:lvlJc w:val="left"/>
      <w:pPr>
        <w:ind w:left="7190" w:hanging="361"/>
      </w:pPr>
    </w:lvl>
    <w:lvl w:ilvl="8">
      <w:numFmt w:val="bullet"/>
      <w:lvlText w:val="•"/>
      <w:lvlJc w:val="left"/>
      <w:pPr>
        <w:ind w:left="8060" w:hanging="361"/>
      </w:pPr>
    </w:lvl>
  </w:abstractNum>
  <w:abstractNum w:abstractNumId="2">
    <w:nsid w:val="00000404"/>
    <w:multiLevelType w:val="multilevel"/>
    <w:tmpl w:val="00000887"/>
    <w:lvl w:ilvl="0">
      <w:numFmt w:val="bullet"/>
      <w:lvlText w:val=""/>
      <w:lvlJc w:val="left"/>
      <w:pPr>
        <w:ind w:left="840" w:hanging="361"/>
      </w:pPr>
      <w:rPr>
        <w:b w:val="0"/>
        <w:bCs w:val="0"/>
        <w:w w:val="99"/>
      </w:rPr>
    </w:lvl>
    <w:lvl w:ilvl="1">
      <w:numFmt w:val="bullet"/>
      <w:lvlText w:val="•"/>
      <w:lvlJc w:val="left"/>
      <w:pPr>
        <w:ind w:left="1736" w:hanging="361"/>
      </w:pPr>
    </w:lvl>
    <w:lvl w:ilvl="2">
      <w:numFmt w:val="bullet"/>
      <w:lvlText w:val="•"/>
      <w:lvlJc w:val="left"/>
      <w:pPr>
        <w:ind w:left="2632" w:hanging="361"/>
      </w:pPr>
    </w:lvl>
    <w:lvl w:ilvl="3">
      <w:numFmt w:val="bullet"/>
      <w:lvlText w:val="•"/>
      <w:lvlJc w:val="left"/>
      <w:pPr>
        <w:ind w:left="3528" w:hanging="361"/>
      </w:pPr>
    </w:lvl>
    <w:lvl w:ilvl="4">
      <w:numFmt w:val="bullet"/>
      <w:lvlText w:val="•"/>
      <w:lvlJc w:val="left"/>
      <w:pPr>
        <w:ind w:left="4424" w:hanging="361"/>
      </w:pPr>
    </w:lvl>
    <w:lvl w:ilvl="5">
      <w:numFmt w:val="bullet"/>
      <w:lvlText w:val="•"/>
      <w:lvlJc w:val="left"/>
      <w:pPr>
        <w:ind w:left="5320" w:hanging="361"/>
      </w:pPr>
    </w:lvl>
    <w:lvl w:ilvl="6">
      <w:numFmt w:val="bullet"/>
      <w:lvlText w:val="•"/>
      <w:lvlJc w:val="left"/>
      <w:pPr>
        <w:ind w:left="6216" w:hanging="361"/>
      </w:pPr>
    </w:lvl>
    <w:lvl w:ilvl="7">
      <w:numFmt w:val="bullet"/>
      <w:lvlText w:val="•"/>
      <w:lvlJc w:val="left"/>
      <w:pPr>
        <w:ind w:left="7112" w:hanging="361"/>
      </w:pPr>
    </w:lvl>
    <w:lvl w:ilvl="8">
      <w:numFmt w:val="bullet"/>
      <w:lvlText w:val="•"/>
      <w:lvlJc w:val="left"/>
      <w:pPr>
        <w:ind w:left="8008" w:hanging="361"/>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B0A"/>
    <w:rsid w:val="001B10BE"/>
    <w:rsid w:val="006370C3"/>
    <w:rsid w:val="007777F4"/>
    <w:rsid w:val="00D17BBA"/>
    <w:rsid w:val="00D311E1"/>
    <w:rsid w:val="00D73B0A"/>
    <w:rsid w:val="00EE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03FDB0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spacing w:before="1"/>
      <w:ind w:left="1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Arial" w:hAnsi="Arial" w:cs="Arial"/>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spacing w:line="293" w:lineRule="exact"/>
      <w:ind w:left="1108" w:hanging="360"/>
    </w:pPr>
  </w:style>
  <w:style w:type="paragraph" w:customStyle="1" w:styleId="TableParagraph">
    <w:name w:val="Table Paragraph"/>
    <w:basedOn w:val="Normal"/>
    <w:uiPriority w:val="1"/>
    <w:qFormat/>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ityhall@camdenton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Revised RFQ Draft</vt:lpstr>
    </vt:vector>
  </TitlesOfParts>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Revised RFQ Draft</dc:title>
  <dc:subject/>
  <dc:creator>AutoCAD</dc:creator>
  <cp:keywords/>
  <dc:description/>
  <cp:lastModifiedBy>AutoCAD</cp:lastModifiedBy>
  <cp:revision>4</cp:revision>
  <dcterms:created xsi:type="dcterms:W3CDTF">2020-05-18T16:51:00Z</dcterms:created>
  <dcterms:modified xsi:type="dcterms:W3CDTF">2020-05-19T15:12:00Z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Bullzip PDF Printer (11.10.0.2761)</vt:lpwstr>
  </property>
</Properties>
</file>