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CE4" w:rsidRDefault="0062249F" w:rsidP="0062249F">
      <w:pPr>
        <w:jc w:val="center"/>
        <w:rPr>
          <w:sz w:val="24"/>
          <w:szCs w:val="24"/>
        </w:rPr>
      </w:pPr>
      <w:r>
        <w:rPr>
          <w:sz w:val="24"/>
          <w:szCs w:val="24"/>
        </w:rPr>
        <w:t>Sp</w:t>
      </w:r>
      <w:r w:rsidR="00625D18">
        <w:rPr>
          <w:sz w:val="24"/>
          <w:szCs w:val="24"/>
        </w:rPr>
        <w:t>ecifications for Resurfacing 4 Tennis C</w:t>
      </w:r>
      <w:bookmarkStart w:id="0" w:name="_GoBack"/>
      <w:bookmarkEnd w:id="0"/>
      <w:r>
        <w:rPr>
          <w:sz w:val="24"/>
          <w:szCs w:val="24"/>
        </w:rPr>
        <w:t>ourts</w:t>
      </w:r>
    </w:p>
    <w:p w:rsidR="0062249F" w:rsidRDefault="0062249F" w:rsidP="0062249F">
      <w:pPr>
        <w:rPr>
          <w:sz w:val="24"/>
          <w:szCs w:val="24"/>
        </w:rPr>
      </w:pPr>
    </w:p>
    <w:p w:rsidR="0062249F" w:rsidRPr="0062249F" w:rsidRDefault="0062249F" w:rsidP="0062249F">
      <w:pPr>
        <w:pStyle w:val="ListParagraph"/>
        <w:numPr>
          <w:ilvl w:val="0"/>
          <w:numId w:val="1"/>
        </w:numPr>
        <w:rPr>
          <w:sz w:val="24"/>
          <w:szCs w:val="24"/>
        </w:rPr>
      </w:pPr>
      <w:r>
        <w:rPr>
          <w:b/>
          <w:sz w:val="24"/>
          <w:szCs w:val="24"/>
        </w:rPr>
        <w:t>ALL BIDDERS ARE REQUIRED TO DO A SITE EVALUATION OF TENNIS COURTS AT 327 NORTH WOODLAND STREET, MANCHESTER TN 37355 AND MEET WTH THE OWNER PRIOR TO SUBMITTING A BID.</w:t>
      </w:r>
    </w:p>
    <w:p w:rsidR="0062249F" w:rsidRDefault="0062249F" w:rsidP="0062249F">
      <w:pPr>
        <w:pStyle w:val="ListParagraph"/>
        <w:numPr>
          <w:ilvl w:val="0"/>
          <w:numId w:val="1"/>
        </w:numPr>
        <w:rPr>
          <w:sz w:val="24"/>
          <w:szCs w:val="24"/>
        </w:rPr>
      </w:pPr>
      <w:r>
        <w:rPr>
          <w:sz w:val="24"/>
          <w:szCs w:val="24"/>
        </w:rPr>
        <w:t>The project is funded in part by a grant from the United States Tennis Association and their specifications for court repair, lines, etc</w:t>
      </w:r>
      <w:r w:rsidR="00625D18">
        <w:rPr>
          <w:sz w:val="24"/>
          <w:szCs w:val="24"/>
        </w:rPr>
        <w:t>.</w:t>
      </w:r>
      <w:r>
        <w:rPr>
          <w:sz w:val="24"/>
          <w:szCs w:val="24"/>
        </w:rPr>
        <w:t xml:space="preserve"> must be followed.</w:t>
      </w:r>
    </w:p>
    <w:p w:rsidR="0062249F" w:rsidRDefault="0062249F" w:rsidP="0062249F">
      <w:pPr>
        <w:pStyle w:val="ListParagraph"/>
        <w:numPr>
          <w:ilvl w:val="0"/>
          <w:numId w:val="1"/>
        </w:numPr>
        <w:rPr>
          <w:sz w:val="24"/>
          <w:szCs w:val="24"/>
        </w:rPr>
      </w:pPr>
      <w:r>
        <w:rPr>
          <w:sz w:val="24"/>
          <w:szCs w:val="24"/>
        </w:rPr>
        <w:t xml:space="preserve">Bids </w:t>
      </w:r>
      <w:r w:rsidR="00625D18">
        <w:rPr>
          <w:sz w:val="24"/>
          <w:szCs w:val="24"/>
        </w:rPr>
        <w:t>are due on Thursday, November 17</w:t>
      </w:r>
      <w:r>
        <w:rPr>
          <w:sz w:val="24"/>
          <w:szCs w:val="24"/>
        </w:rPr>
        <w:t xml:space="preserve">, 2016 at 10:00am.  If mailed or delivered they must be received before the bid deadline.  They can be mailed or delivered to Bridget Anderson, Finance Director City of Manchester, 200 West Fort Street Manchester Tennessee 37355.  All questions regarding the bid may be addressed to Bonnie Gamble, Director Parks and Recreation. </w:t>
      </w:r>
      <w:hyperlink r:id="rId5" w:history="1">
        <w:r w:rsidRPr="001B40D0">
          <w:rPr>
            <w:rStyle w:val="Hyperlink"/>
            <w:sz w:val="24"/>
            <w:szCs w:val="24"/>
          </w:rPr>
          <w:t>bgamble@cityofmanchestertn.com</w:t>
        </w:r>
      </w:hyperlink>
      <w:r>
        <w:rPr>
          <w:sz w:val="24"/>
          <w:szCs w:val="24"/>
        </w:rPr>
        <w:t xml:space="preserve"> or 931-728-0273</w:t>
      </w:r>
    </w:p>
    <w:p w:rsidR="0062249F" w:rsidRDefault="0062249F" w:rsidP="0062249F">
      <w:pPr>
        <w:pStyle w:val="ListParagraph"/>
        <w:numPr>
          <w:ilvl w:val="0"/>
          <w:numId w:val="1"/>
        </w:numPr>
        <w:rPr>
          <w:sz w:val="24"/>
          <w:szCs w:val="24"/>
        </w:rPr>
      </w:pPr>
      <w:r>
        <w:rPr>
          <w:sz w:val="24"/>
          <w:szCs w:val="24"/>
        </w:rPr>
        <w:t xml:space="preserve">Owner reserves the right to accept or reject any and all bids which are in anyway incomplete, unsigned, improperly sealed, or have irregularities of any kind. </w:t>
      </w:r>
    </w:p>
    <w:p w:rsidR="0062249F" w:rsidRDefault="0062249F" w:rsidP="0062249F">
      <w:pPr>
        <w:rPr>
          <w:sz w:val="24"/>
          <w:szCs w:val="24"/>
        </w:rPr>
      </w:pPr>
    </w:p>
    <w:p w:rsidR="0062249F" w:rsidRDefault="0062249F" w:rsidP="0062249F">
      <w:pPr>
        <w:pStyle w:val="ListParagraph"/>
        <w:numPr>
          <w:ilvl w:val="1"/>
          <w:numId w:val="2"/>
        </w:numPr>
        <w:rPr>
          <w:b/>
          <w:sz w:val="24"/>
          <w:szCs w:val="24"/>
        </w:rPr>
      </w:pPr>
      <w:r w:rsidRPr="0062249F">
        <w:rPr>
          <w:b/>
          <w:sz w:val="24"/>
          <w:szCs w:val="24"/>
        </w:rPr>
        <w:t>General</w:t>
      </w:r>
    </w:p>
    <w:p w:rsidR="0062249F" w:rsidRDefault="00BF507C" w:rsidP="00BF507C">
      <w:pPr>
        <w:pStyle w:val="ListParagraph"/>
        <w:numPr>
          <w:ilvl w:val="0"/>
          <w:numId w:val="3"/>
        </w:numPr>
        <w:rPr>
          <w:sz w:val="24"/>
          <w:szCs w:val="24"/>
        </w:rPr>
      </w:pPr>
      <w:r>
        <w:rPr>
          <w:sz w:val="24"/>
          <w:szCs w:val="24"/>
        </w:rPr>
        <w:t xml:space="preserve">Thoroughly clean the surface free of algae, dirt and debris and strip as much of the loose surface as possible to ensure proper adhesion. This should be accomplished by using a pressure washer, wire brooms, and power blowers. </w:t>
      </w:r>
    </w:p>
    <w:p w:rsidR="00BF507C" w:rsidRDefault="00BF507C" w:rsidP="00BF507C">
      <w:pPr>
        <w:pStyle w:val="ListParagraph"/>
        <w:numPr>
          <w:ilvl w:val="0"/>
          <w:numId w:val="3"/>
        </w:numPr>
        <w:rPr>
          <w:sz w:val="24"/>
          <w:szCs w:val="24"/>
        </w:rPr>
      </w:pPr>
      <w:r>
        <w:rPr>
          <w:sz w:val="24"/>
          <w:szCs w:val="24"/>
        </w:rPr>
        <w:t xml:space="preserve">Threat the existing cracks and low areas using either </w:t>
      </w:r>
      <w:proofErr w:type="spellStart"/>
      <w:r>
        <w:rPr>
          <w:sz w:val="24"/>
          <w:szCs w:val="24"/>
        </w:rPr>
        <w:t>Laykold</w:t>
      </w:r>
      <w:proofErr w:type="spellEnd"/>
      <w:r>
        <w:rPr>
          <w:sz w:val="24"/>
          <w:szCs w:val="24"/>
        </w:rPr>
        <w:t xml:space="preserve"> </w:t>
      </w:r>
      <w:r w:rsidR="00625D18">
        <w:rPr>
          <w:sz w:val="24"/>
          <w:szCs w:val="24"/>
        </w:rPr>
        <w:t>Acrylic Crack Fill as manufactu</w:t>
      </w:r>
      <w:r>
        <w:rPr>
          <w:sz w:val="24"/>
          <w:szCs w:val="24"/>
        </w:rPr>
        <w:t xml:space="preserve">red by </w:t>
      </w:r>
      <w:proofErr w:type="spellStart"/>
      <w:r>
        <w:rPr>
          <w:sz w:val="24"/>
          <w:szCs w:val="24"/>
        </w:rPr>
        <w:t>Laykold</w:t>
      </w:r>
      <w:proofErr w:type="spellEnd"/>
      <w:r>
        <w:rPr>
          <w:sz w:val="24"/>
          <w:szCs w:val="24"/>
        </w:rPr>
        <w:t xml:space="preserve"> Court Patch Binder Acrylic Cement as manufactured by California Products or similar product.</w:t>
      </w:r>
    </w:p>
    <w:p w:rsidR="00BF507C" w:rsidRDefault="00BF507C" w:rsidP="00BF507C">
      <w:pPr>
        <w:pStyle w:val="ListParagraph"/>
        <w:numPr>
          <w:ilvl w:val="0"/>
          <w:numId w:val="3"/>
        </w:numPr>
        <w:rPr>
          <w:sz w:val="24"/>
          <w:szCs w:val="24"/>
        </w:rPr>
      </w:pPr>
      <w:r>
        <w:rPr>
          <w:sz w:val="24"/>
          <w:szCs w:val="24"/>
        </w:rPr>
        <w:t xml:space="preserve">Cover treated cracks with waterproof fabric treatment and tape.   Blend into the surrounding surface. </w:t>
      </w:r>
    </w:p>
    <w:p w:rsidR="00BF507C" w:rsidRPr="002663D3" w:rsidRDefault="00625D18" w:rsidP="00BF507C">
      <w:pPr>
        <w:pStyle w:val="ListParagraph"/>
        <w:numPr>
          <w:ilvl w:val="0"/>
          <w:numId w:val="3"/>
        </w:numPr>
        <w:rPr>
          <w:sz w:val="24"/>
          <w:szCs w:val="24"/>
        </w:rPr>
      </w:pPr>
      <w:r>
        <w:rPr>
          <w:sz w:val="24"/>
          <w:szCs w:val="24"/>
        </w:rPr>
        <w:t>Squeegee apply 1 layer (</w:t>
      </w:r>
      <w:r w:rsidR="002663D3">
        <w:rPr>
          <w:sz w:val="24"/>
          <w:szCs w:val="24"/>
        </w:rPr>
        <w:t xml:space="preserve">approximately .19 mixed gallons/square yard or 550 gallons) of </w:t>
      </w:r>
      <w:proofErr w:type="spellStart"/>
      <w:r w:rsidR="002663D3">
        <w:rPr>
          <w:sz w:val="24"/>
          <w:szCs w:val="24"/>
        </w:rPr>
        <w:t>Laykold</w:t>
      </w:r>
      <w:proofErr w:type="spellEnd"/>
      <w:r w:rsidR="002663D3">
        <w:rPr>
          <w:sz w:val="24"/>
          <w:szCs w:val="24"/>
        </w:rPr>
        <w:t xml:space="preserve"> </w:t>
      </w:r>
      <w:proofErr w:type="spellStart"/>
      <w:r w:rsidR="002663D3">
        <w:rPr>
          <w:sz w:val="24"/>
          <w:szCs w:val="24"/>
        </w:rPr>
        <w:t>NuSurf</w:t>
      </w:r>
      <w:proofErr w:type="spellEnd"/>
      <w:r w:rsidR="002663D3">
        <w:rPr>
          <w:sz w:val="24"/>
          <w:szCs w:val="24"/>
        </w:rPr>
        <w:t xml:space="preserve"> flexible </w:t>
      </w:r>
      <w:proofErr w:type="spellStart"/>
      <w:r w:rsidR="002663D3">
        <w:rPr>
          <w:sz w:val="24"/>
          <w:szCs w:val="24"/>
        </w:rPr>
        <w:t>resurfacer</w:t>
      </w:r>
      <w:proofErr w:type="spellEnd"/>
      <w:r w:rsidR="002663D3">
        <w:rPr>
          <w:sz w:val="24"/>
          <w:szCs w:val="24"/>
        </w:rPr>
        <w:t xml:space="preserve">.  The material will contain 60-mesh sand to provide an even texture to the surface.  </w:t>
      </w:r>
      <w:r w:rsidR="002663D3">
        <w:rPr>
          <w:b/>
          <w:sz w:val="24"/>
          <w:szCs w:val="24"/>
        </w:rPr>
        <w:t>Important that all products and techniques meet USTA standards for tennis court repair.</w:t>
      </w:r>
    </w:p>
    <w:p w:rsidR="002663D3" w:rsidRDefault="002663D3" w:rsidP="00BF507C">
      <w:pPr>
        <w:pStyle w:val="ListParagraph"/>
        <w:numPr>
          <w:ilvl w:val="0"/>
          <w:numId w:val="3"/>
        </w:numPr>
        <w:rPr>
          <w:sz w:val="24"/>
          <w:szCs w:val="24"/>
        </w:rPr>
      </w:pPr>
      <w:r>
        <w:rPr>
          <w:sz w:val="24"/>
          <w:szCs w:val="24"/>
        </w:rPr>
        <w:t xml:space="preserve">Squeegee apply 2 layers (approximately .21 mixed gallon/sq. yard or 610 gallons) of </w:t>
      </w:r>
      <w:proofErr w:type="spellStart"/>
      <w:r>
        <w:rPr>
          <w:sz w:val="24"/>
          <w:szCs w:val="24"/>
        </w:rPr>
        <w:t>Laykold</w:t>
      </w:r>
      <w:proofErr w:type="spellEnd"/>
      <w:r>
        <w:rPr>
          <w:sz w:val="24"/>
          <w:szCs w:val="24"/>
        </w:rPr>
        <w:t xml:space="preserve"> Color Concentrate.  The material will contain 80-mesh sand to provide a “medium-speed” playing surface.  The color scheme will be the same as the existing unless otherwise specified.  Must have color stability, fade resistance and fungus resistance. </w:t>
      </w:r>
    </w:p>
    <w:p w:rsidR="002663D3" w:rsidRDefault="002663D3" w:rsidP="00BF507C">
      <w:pPr>
        <w:pStyle w:val="ListParagraph"/>
        <w:numPr>
          <w:ilvl w:val="0"/>
          <w:numId w:val="3"/>
        </w:numPr>
        <w:rPr>
          <w:sz w:val="24"/>
          <w:szCs w:val="24"/>
        </w:rPr>
      </w:pPr>
      <w:r>
        <w:rPr>
          <w:sz w:val="24"/>
          <w:szCs w:val="24"/>
        </w:rPr>
        <w:t>Playing lines will be installed with textured line paint.</w:t>
      </w:r>
    </w:p>
    <w:p w:rsidR="002663D3" w:rsidRDefault="002663D3" w:rsidP="00BF507C">
      <w:pPr>
        <w:pStyle w:val="ListParagraph"/>
        <w:numPr>
          <w:ilvl w:val="0"/>
          <w:numId w:val="3"/>
        </w:numPr>
        <w:rPr>
          <w:sz w:val="24"/>
          <w:szCs w:val="24"/>
        </w:rPr>
      </w:pPr>
      <w:r>
        <w:rPr>
          <w:sz w:val="24"/>
          <w:szCs w:val="24"/>
        </w:rPr>
        <w:t xml:space="preserve">The USTA standard for blended 10 and under playing lines will be installed. </w:t>
      </w:r>
    </w:p>
    <w:p w:rsidR="002663D3" w:rsidRDefault="002663D3" w:rsidP="00BF507C">
      <w:pPr>
        <w:pStyle w:val="ListParagraph"/>
        <w:numPr>
          <w:ilvl w:val="0"/>
          <w:numId w:val="3"/>
        </w:numPr>
        <w:rPr>
          <w:sz w:val="24"/>
          <w:szCs w:val="24"/>
        </w:rPr>
      </w:pPr>
      <w:r>
        <w:rPr>
          <w:sz w:val="24"/>
          <w:szCs w:val="24"/>
        </w:rPr>
        <w:t xml:space="preserve">Layout standard tennis court, 60 foot and 36 foot lines per USTA requirements.  Measure, tape, and prime prior to installing 1 ½ inch wide blended lines within the same color family as the 78’ court.  The 36 foot and 60 foot tennis playing lines will be 1 ½ “ wide, be within the same color family as the playing surface and terminate 3 inches </w:t>
      </w:r>
      <w:r>
        <w:rPr>
          <w:sz w:val="24"/>
          <w:szCs w:val="24"/>
        </w:rPr>
        <w:lastRenderedPageBreak/>
        <w:t>from the 78 foot court playing lines.  This will yield clean, sharp, accurate lines.  Re-stripe all courts, measure, tape, and prime prior to installing 2” white textured acrylic line paint with roller, according to USTA specifications.  Stripe courts 1 and 3 with 36’/60’ blended lines and courts 2 and 4 with 60’ blended lines, according to USTA specifications.</w:t>
      </w:r>
      <w:r w:rsidR="00BA4D98">
        <w:rPr>
          <w:sz w:val="24"/>
          <w:szCs w:val="24"/>
        </w:rPr>
        <w:t xml:space="preserve"> Apply 2 coats of textured striping material as manufactured by </w:t>
      </w:r>
      <w:proofErr w:type="spellStart"/>
      <w:r w:rsidR="00BA4D98">
        <w:rPr>
          <w:sz w:val="24"/>
          <w:szCs w:val="24"/>
        </w:rPr>
        <w:t>Laykold</w:t>
      </w:r>
      <w:proofErr w:type="spellEnd"/>
      <w:r w:rsidR="00BA4D98">
        <w:rPr>
          <w:sz w:val="24"/>
          <w:szCs w:val="24"/>
        </w:rPr>
        <w:t xml:space="preserve"> or similar manufacturer.  The material will also contain 80-mesh sand to provide the same playing characteristics as the playing surface.</w:t>
      </w:r>
    </w:p>
    <w:p w:rsidR="00BA4D98" w:rsidRDefault="00BA4D98" w:rsidP="00BF507C">
      <w:pPr>
        <w:pStyle w:val="ListParagraph"/>
        <w:numPr>
          <w:ilvl w:val="0"/>
          <w:numId w:val="3"/>
        </w:numPr>
        <w:rPr>
          <w:sz w:val="24"/>
          <w:szCs w:val="24"/>
        </w:rPr>
      </w:pPr>
      <w:r>
        <w:rPr>
          <w:sz w:val="24"/>
          <w:szCs w:val="24"/>
        </w:rPr>
        <w:t xml:space="preserve">Paint net posts, replace and bad winders, install new nets and center straps. </w:t>
      </w:r>
    </w:p>
    <w:p w:rsidR="00BA4D98" w:rsidRDefault="00BA4D98" w:rsidP="00BA4D98">
      <w:pPr>
        <w:pStyle w:val="ListParagraph"/>
        <w:numPr>
          <w:ilvl w:val="0"/>
          <w:numId w:val="3"/>
        </w:numPr>
        <w:rPr>
          <w:sz w:val="24"/>
          <w:szCs w:val="24"/>
        </w:rPr>
      </w:pPr>
      <w:r>
        <w:rPr>
          <w:sz w:val="24"/>
          <w:szCs w:val="24"/>
        </w:rPr>
        <w:t>Provide a one- (1) year warranty on workmanship and material required to the completion of the project.</w:t>
      </w:r>
    </w:p>
    <w:p w:rsidR="00BA4D98" w:rsidRPr="00BA4D98" w:rsidRDefault="00BA4D98" w:rsidP="00BA4D98">
      <w:pPr>
        <w:pStyle w:val="ListParagraph"/>
        <w:numPr>
          <w:ilvl w:val="0"/>
          <w:numId w:val="3"/>
        </w:numPr>
        <w:rPr>
          <w:sz w:val="24"/>
          <w:szCs w:val="24"/>
        </w:rPr>
      </w:pPr>
      <w:r>
        <w:rPr>
          <w:sz w:val="24"/>
          <w:szCs w:val="24"/>
        </w:rPr>
        <w:t xml:space="preserve"> Provide References of Three (3) tennis court repair/renovations project undertaken by your company in the last 3 years. </w:t>
      </w:r>
    </w:p>
    <w:p w:rsidR="0062249F" w:rsidRPr="0062249F" w:rsidRDefault="0062249F" w:rsidP="0062249F">
      <w:pPr>
        <w:pStyle w:val="ListParagraph"/>
        <w:ind w:left="360"/>
        <w:rPr>
          <w:sz w:val="24"/>
          <w:szCs w:val="24"/>
        </w:rPr>
      </w:pPr>
    </w:p>
    <w:sectPr w:rsidR="0062249F" w:rsidRPr="006224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2B3F"/>
    <w:multiLevelType w:val="multilevel"/>
    <w:tmpl w:val="9880CC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9F66D6"/>
    <w:multiLevelType w:val="hybridMultilevel"/>
    <w:tmpl w:val="44DE4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B22692"/>
    <w:multiLevelType w:val="hybridMultilevel"/>
    <w:tmpl w:val="BA562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49F"/>
    <w:rsid w:val="002663D3"/>
    <w:rsid w:val="0062249F"/>
    <w:rsid w:val="00625D18"/>
    <w:rsid w:val="00A50CE4"/>
    <w:rsid w:val="00BA4D98"/>
    <w:rsid w:val="00BF5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236C9"/>
  <w15:chartTrackingRefBased/>
  <w15:docId w15:val="{08CAA236-E982-4713-A53E-01055A2E7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49F"/>
    <w:pPr>
      <w:ind w:left="720"/>
      <w:contextualSpacing/>
    </w:pPr>
  </w:style>
  <w:style w:type="character" w:styleId="Hyperlink">
    <w:name w:val="Hyperlink"/>
    <w:basedOn w:val="DefaultParagraphFont"/>
    <w:uiPriority w:val="99"/>
    <w:unhideWhenUsed/>
    <w:rsid w:val="006224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gamble@cityofmanchestert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Gamble</dc:creator>
  <cp:keywords/>
  <dc:description/>
  <cp:lastModifiedBy>Melissa Gamble</cp:lastModifiedBy>
  <cp:revision>2</cp:revision>
  <dcterms:created xsi:type="dcterms:W3CDTF">2016-11-03T13:21:00Z</dcterms:created>
  <dcterms:modified xsi:type="dcterms:W3CDTF">2016-11-03T13:21:00Z</dcterms:modified>
</cp:coreProperties>
</file>