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D024" w14:textId="414ED367" w:rsidR="00F51875" w:rsidRPr="0022372B" w:rsidRDefault="00EA25C5" w:rsidP="00EA25C5">
      <w:pPr>
        <w:jc w:val="center"/>
        <w:rPr>
          <w:b/>
          <w:bCs/>
          <w:sz w:val="36"/>
          <w:szCs w:val="36"/>
          <w:u w:val="single"/>
        </w:rPr>
      </w:pPr>
      <w:r w:rsidRPr="0022372B">
        <w:rPr>
          <w:b/>
          <w:bCs/>
          <w:sz w:val="36"/>
          <w:szCs w:val="36"/>
          <w:u w:val="single"/>
        </w:rPr>
        <w:t xml:space="preserve">Insurance standard for </w:t>
      </w:r>
      <w:r w:rsidR="0022372B" w:rsidRPr="0022372B">
        <w:rPr>
          <w:b/>
          <w:bCs/>
          <w:sz w:val="36"/>
          <w:szCs w:val="36"/>
          <w:u w:val="single"/>
        </w:rPr>
        <w:t>General &amp; D</w:t>
      </w:r>
      <w:r w:rsidRPr="0022372B">
        <w:rPr>
          <w:b/>
          <w:bCs/>
          <w:sz w:val="36"/>
          <w:szCs w:val="36"/>
          <w:u w:val="single"/>
        </w:rPr>
        <w:t xml:space="preserve">emolition </w:t>
      </w:r>
      <w:r w:rsidR="0022372B" w:rsidRPr="0022372B">
        <w:rPr>
          <w:b/>
          <w:bCs/>
          <w:sz w:val="36"/>
          <w:szCs w:val="36"/>
          <w:u w:val="single"/>
        </w:rPr>
        <w:t>C</w:t>
      </w:r>
      <w:r w:rsidRPr="0022372B">
        <w:rPr>
          <w:b/>
          <w:bCs/>
          <w:sz w:val="36"/>
          <w:szCs w:val="36"/>
          <w:u w:val="single"/>
        </w:rPr>
        <w:t>ontractors</w:t>
      </w:r>
    </w:p>
    <w:p w14:paraId="3A45D0AE" w14:textId="23638418" w:rsidR="00EA25C5" w:rsidRDefault="00EA25C5" w:rsidP="00EA25C5">
      <w:pPr>
        <w:jc w:val="center"/>
        <w:rPr>
          <w:b/>
          <w:bCs/>
          <w:sz w:val="40"/>
          <w:szCs w:val="40"/>
        </w:rPr>
      </w:pPr>
    </w:p>
    <w:p w14:paraId="24098C0B" w14:textId="2F34373C" w:rsidR="0022372B" w:rsidRDefault="0022372B" w:rsidP="006C7841">
      <w:pPr>
        <w:pStyle w:val="ListParagraph"/>
        <w:spacing w:after="120"/>
        <w:ind w:left="1440"/>
        <w:contextualSpacing w:val="0"/>
        <w:jc w:val="both"/>
        <w:rPr>
          <w:b/>
          <w:bCs/>
          <w:sz w:val="28"/>
          <w:szCs w:val="28"/>
        </w:rPr>
      </w:pPr>
      <w:r>
        <w:rPr>
          <w:b/>
          <w:bCs/>
          <w:sz w:val="28"/>
          <w:szCs w:val="28"/>
        </w:rPr>
        <w:t>General &amp; Demolition contractors are required to have</w:t>
      </w:r>
      <w:r w:rsidR="001F543E">
        <w:rPr>
          <w:b/>
          <w:bCs/>
          <w:sz w:val="28"/>
          <w:szCs w:val="28"/>
        </w:rPr>
        <w:t xml:space="preserve"> #1-3</w:t>
      </w:r>
    </w:p>
    <w:p w14:paraId="3AB386D1" w14:textId="77777777" w:rsidR="00E6186B" w:rsidRDefault="00E6186B" w:rsidP="006C7841">
      <w:pPr>
        <w:pStyle w:val="ListParagraph"/>
        <w:spacing w:after="120"/>
        <w:ind w:left="1440"/>
        <w:contextualSpacing w:val="0"/>
        <w:jc w:val="both"/>
        <w:rPr>
          <w:b/>
          <w:bCs/>
          <w:sz w:val="28"/>
          <w:szCs w:val="28"/>
        </w:rPr>
      </w:pPr>
    </w:p>
    <w:p w14:paraId="58B80DCF" w14:textId="1A900352" w:rsidR="00974981" w:rsidRPr="005C4DC6" w:rsidRDefault="0022372B" w:rsidP="0022372B">
      <w:pPr>
        <w:pStyle w:val="ListParagraph"/>
        <w:numPr>
          <w:ilvl w:val="0"/>
          <w:numId w:val="2"/>
        </w:numPr>
        <w:spacing w:after="120"/>
        <w:contextualSpacing w:val="0"/>
        <w:jc w:val="both"/>
        <w:rPr>
          <w:rFonts w:ascii="Arial" w:hAnsi="Arial" w:cs="Arial"/>
          <w:b/>
          <w:u w:val="single"/>
        </w:rPr>
      </w:pPr>
      <w:r>
        <w:rPr>
          <w:b/>
          <w:bCs/>
          <w:sz w:val="28"/>
          <w:szCs w:val="28"/>
        </w:rPr>
        <w:t xml:space="preserve"> </w:t>
      </w:r>
      <w:r w:rsidR="00EA25C5" w:rsidRPr="00EA25C5">
        <w:rPr>
          <w:b/>
          <w:bCs/>
          <w:sz w:val="28"/>
          <w:szCs w:val="28"/>
        </w:rPr>
        <w:t>Workers Compensation</w:t>
      </w:r>
      <w:r w:rsidR="006C7841">
        <w:rPr>
          <w:b/>
          <w:bCs/>
          <w:sz w:val="28"/>
          <w:szCs w:val="28"/>
        </w:rPr>
        <w:t>.</w:t>
      </w:r>
      <w:r w:rsidR="00974981" w:rsidRPr="00974981">
        <w:rPr>
          <w:rFonts w:ascii="Arial" w:hAnsi="Arial" w:cs="Arial"/>
          <w:b/>
          <w:u w:val="single"/>
        </w:rPr>
        <w:t xml:space="preserve"> </w:t>
      </w:r>
    </w:p>
    <w:p w14:paraId="27F6AC0C" w14:textId="2AC9FF4C" w:rsidR="00974981" w:rsidRPr="005C4DC6" w:rsidRDefault="00974981" w:rsidP="00974981">
      <w:pPr>
        <w:pStyle w:val="ListParagraph"/>
        <w:spacing w:after="120"/>
        <w:ind w:left="1440"/>
        <w:contextualSpacing w:val="0"/>
        <w:jc w:val="both"/>
        <w:rPr>
          <w:rFonts w:ascii="Arial" w:hAnsi="Arial" w:cs="Arial"/>
        </w:rPr>
      </w:pPr>
      <w:r w:rsidRPr="005C4DC6">
        <w:rPr>
          <w:rFonts w:ascii="Arial" w:hAnsi="Arial" w:cs="Arial"/>
        </w:rPr>
        <w:t>The contractor shall purchase and maintain worker’s compensation insurance for all worker’s compensation obligations imposed by state law</w:t>
      </w:r>
      <w:r w:rsidR="00404863">
        <w:rPr>
          <w:rFonts w:ascii="Arial" w:hAnsi="Arial" w:cs="Arial"/>
        </w:rPr>
        <w:t>, statutory limits for part A.  Part B, E</w:t>
      </w:r>
      <w:r w:rsidRPr="005C4DC6">
        <w:rPr>
          <w:rFonts w:ascii="Arial" w:hAnsi="Arial" w:cs="Arial"/>
        </w:rPr>
        <w:t>mployer’s liability</w:t>
      </w:r>
      <w:r w:rsidR="00AE55CF">
        <w:rPr>
          <w:rFonts w:ascii="Arial" w:hAnsi="Arial" w:cs="Arial"/>
        </w:rPr>
        <w:t>,</w:t>
      </w:r>
      <w:r w:rsidRPr="005C4DC6">
        <w:rPr>
          <w:rFonts w:ascii="Arial" w:hAnsi="Arial" w:cs="Arial"/>
        </w:rPr>
        <w:t xml:space="preserve"> limits of at least $</w:t>
      </w:r>
      <w:r>
        <w:rPr>
          <w:rFonts w:ascii="Arial" w:hAnsi="Arial" w:cs="Arial"/>
        </w:rPr>
        <w:t>25</w:t>
      </w:r>
      <w:r w:rsidRPr="005C4DC6">
        <w:rPr>
          <w:rFonts w:ascii="Arial" w:hAnsi="Arial" w:cs="Arial"/>
        </w:rPr>
        <w:t>0,000 each accident and $</w:t>
      </w:r>
      <w:r>
        <w:rPr>
          <w:rFonts w:ascii="Arial" w:hAnsi="Arial" w:cs="Arial"/>
        </w:rPr>
        <w:t>5</w:t>
      </w:r>
      <w:r w:rsidRPr="005C4DC6">
        <w:rPr>
          <w:rFonts w:ascii="Arial" w:hAnsi="Arial" w:cs="Arial"/>
        </w:rPr>
        <w:t>00,000 each employee/$500,000 policy limit for disease, or a valid certificate of exemption issued by the state of Florida, or an affidavit in accordance with the provisions of Florida Workers Compensation law.</w:t>
      </w:r>
    </w:p>
    <w:p w14:paraId="556BFD8C" w14:textId="1447C35D" w:rsidR="00EA25C5" w:rsidRDefault="00974981" w:rsidP="00E6186B">
      <w:pPr>
        <w:pStyle w:val="ListParagraph"/>
        <w:spacing w:after="120"/>
        <w:ind w:left="1440"/>
        <w:contextualSpacing w:val="0"/>
        <w:jc w:val="both"/>
        <w:rPr>
          <w:sz w:val="28"/>
          <w:szCs w:val="28"/>
        </w:rPr>
      </w:pPr>
      <w:r w:rsidRPr="005C4DC6">
        <w:rPr>
          <w:rFonts w:ascii="Arial" w:hAnsi="Arial" w:cs="Arial"/>
        </w:rPr>
        <w:t>Contractor shall also purchase any other coverages required by law for the benefit of employees.</w:t>
      </w:r>
    </w:p>
    <w:p w14:paraId="67CBBE63" w14:textId="77777777" w:rsidR="0022372B" w:rsidRPr="0022372B" w:rsidRDefault="0022372B" w:rsidP="0022372B">
      <w:pPr>
        <w:pStyle w:val="ListParagraph"/>
        <w:numPr>
          <w:ilvl w:val="0"/>
          <w:numId w:val="2"/>
        </w:numPr>
        <w:rPr>
          <w:rFonts w:ascii="Arial" w:hAnsi="Arial" w:cs="Arial"/>
        </w:rPr>
      </w:pPr>
      <w:r>
        <w:rPr>
          <w:b/>
          <w:bCs/>
          <w:sz w:val="28"/>
          <w:szCs w:val="28"/>
        </w:rPr>
        <w:t xml:space="preserve"> </w:t>
      </w:r>
      <w:r w:rsidR="00EA25C5" w:rsidRPr="0022372B">
        <w:rPr>
          <w:b/>
          <w:bCs/>
          <w:sz w:val="28"/>
          <w:szCs w:val="28"/>
        </w:rPr>
        <w:t>General Liability</w:t>
      </w:r>
      <w:r w:rsidR="00974981" w:rsidRPr="0022372B">
        <w:rPr>
          <w:sz w:val="28"/>
          <w:szCs w:val="28"/>
        </w:rPr>
        <w:t xml:space="preserve"> (Occurrence form) </w:t>
      </w:r>
    </w:p>
    <w:p w14:paraId="66A3B523" w14:textId="41FD9255" w:rsidR="00EA25C5" w:rsidRPr="0022372B" w:rsidRDefault="0022372B" w:rsidP="0022372B">
      <w:pPr>
        <w:pStyle w:val="ListParagraph"/>
        <w:ind w:left="1800"/>
        <w:rPr>
          <w:rFonts w:ascii="Arial" w:hAnsi="Arial" w:cs="Arial"/>
        </w:rPr>
      </w:pPr>
      <w:r w:rsidRPr="0022372B">
        <w:rPr>
          <w:rFonts w:ascii="Arial" w:hAnsi="Arial" w:cs="Arial"/>
        </w:rPr>
        <w:t>$1,000,000 per occurrence and $2,000,000 annual aggregate</w:t>
      </w:r>
      <w:r w:rsidR="00974981" w:rsidRPr="0022372B">
        <w:rPr>
          <w:rFonts w:ascii="Arial" w:hAnsi="Arial" w:cs="Arial"/>
        </w:rPr>
        <w:t xml:space="preserve"> </w:t>
      </w:r>
    </w:p>
    <w:p w14:paraId="289E534E" w14:textId="6E17EF9B" w:rsidR="00EA25C5" w:rsidRPr="0022372B" w:rsidRDefault="00C0704F" w:rsidP="006C7841">
      <w:pPr>
        <w:ind w:left="1440"/>
        <w:rPr>
          <w:rFonts w:ascii="Arial" w:hAnsi="Arial" w:cs="Arial"/>
        </w:rPr>
      </w:pPr>
      <w:r w:rsidRPr="0022372B">
        <w:rPr>
          <w:rFonts w:ascii="Arial" w:hAnsi="Arial" w:cs="Arial"/>
        </w:rPr>
        <w:t xml:space="preserve">The </w:t>
      </w:r>
      <w:r w:rsidR="00EA25C5" w:rsidRPr="0022372B">
        <w:rPr>
          <w:rFonts w:ascii="Arial" w:hAnsi="Arial" w:cs="Arial"/>
        </w:rPr>
        <w:t>G</w:t>
      </w:r>
      <w:r w:rsidRPr="0022372B">
        <w:rPr>
          <w:rFonts w:ascii="Arial" w:hAnsi="Arial" w:cs="Arial"/>
        </w:rPr>
        <w:t xml:space="preserve">eneral </w:t>
      </w:r>
      <w:r w:rsidR="00EA25C5" w:rsidRPr="0022372B">
        <w:rPr>
          <w:rFonts w:ascii="Arial" w:hAnsi="Arial" w:cs="Arial"/>
        </w:rPr>
        <w:t>L</w:t>
      </w:r>
      <w:r w:rsidRPr="0022372B">
        <w:rPr>
          <w:rFonts w:ascii="Arial" w:hAnsi="Arial" w:cs="Arial"/>
        </w:rPr>
        <w:t>iability</w:t>
      </w:r>
      <w:r w:rsidR="00EA25C5" w:rsidRPr="0022372B">
        <w:rPr>
          <w:rFonts w:ascii="Arial" w:hAnsi="Arial" w:cs="Arial"/>
        </w:rPr>
        <w:t xml:space="preserve"> policy</w:t>
      </w:r>
      <w:r w:rsidR="00866D70">
        <w:rPr>
          <w:rFonts w:ascii="Arial" w:hAnsi="Arial" w:cs="Arial"/>
        </w:rPr>
        <w:t xml:space="preserve"> today</w:t>
      </w:r>
      <w:r w:rsidR="00EA25C5" w:rsidRPr="0022372B">
        <w:rPr>
          <w:rFonts w:ascii="Arial" w:hAnsi="Arial" w:cs="Arial"/>
        </w:rPr>
        <w:t xml:space="preserve"> </w:t>
      </w:r>
      <w:r w:rsidR="00866D70">
        <w:rPr>
          <w:rFonts w:ascii="Arial" w:hAnsi="Arial" w:cs="Arial"/>
        </w:rPr>
        <w:t xml:space="preserve">includes </w:t>
      </w:r>
      <w:r w:rsidR="00EA25C5" w:rsidRPr="0022372B">
        <w:rPr>
          <w:rFonts w:ascii="Arial" w:hAnsi="Arial" w:cs="Arial"/>
          <w:b/>
          <w:bCs/>
        </w:rPr>
        <w:t>X, C, U coverage</w:t>
      </w:r>
      <w:r w:rsidR="00866D70">
        <w:rPr>
          <w:rFonts w:ascii="Arial" w:hAnsi="Arial" w:cs="Arial"/>
          <w:b/>
          <w:bCs/>
        </w:rPr>
        <w:t>.   If your policy has it excluded then it needs to be noted on the COI.</w:t>
      </w:r>
      <w:r w:rsidR="00EA25C5" w:rsidRPr="0022372B">
        <w:rPr>
          <w:rFonts w:ascii="Arial" w:hAnsi="Arial" w:cs="Arial"/>
        </w:rPr>
        <w:t xml:space="preserve">   X is for explosions, C is for collapse, and U is for underground. </w:t>
      </w:r>
      <w:r w:rsidRPr="0022372B">
        <w:rPr>
          <w:rFonts w:ascii="Arial" w:hAnsi="Arial" w:cs="Arial"/>
        </w:rPr>
        <w:t xml:space="preserve"> </w:t>
      </w:r>
    </w:p>
    <w:p w14:paraId="3B6022B3" w14:textId="77777777" w:rsidR="0022372B" w:rsidRPr="005C4DC6" w:rsidRDefault="0022372B" w:rsidP="0022372B">
      <w:pPr>
        <w:ind w:left="1440"/>
        <w:rPr>
          <w:rFonts w:ascii="Arial" w:hAnsi="Arial" w:cs="Arial"/>
        </w:rPr>
      </w:pPr>
      <w:r w:rsidRPr="006C7841">
        <w:rPr>
          <w:rFonts w:ascii="Arial" w:hAnsi="Arial" w:cs="Arial"/>
          <w:u w:val="single"/>
        </w:rPr>
        <w:t>Coverage A</w:t>
      </w:r>
      <w:r w:rsidRPr="005C4DC6">
        <w:rPr>
          <w:rFonts w:ascii="Arial" w:hAnsi="Arial" w:cs="Arial"/>
        </w:rPr>
        <w:t xml:space="preserve"> shall include bodily injury and property damage liability for premises, operations, products and completed operations, independent contractors, contractual liability covering this agreement, contract or lease, broad form property damage coverages, and property damage resulting from explosion, collapse or underground (x,c,u) exposures.</w:t>
      </w:r>
    </w:p>
    <w:p w14:paraId="72201074" w14:textId="77777777" w:rsidR="0022372B" w:rsidRPr="005C4DC6" w:rsidRDefault="0022372B" w:rsidP="0022372B">
      <w:pPr>
        <w:pStyle w:val="ListParagraph"/>
        <w:spacing w:after="120"/>
        <w:ind w:left="1440"/>
        <w:contextualSpacing w:val="0"/>
        <w:jc w:val="both"/>
        <w:rPr>
          <w:rFonts w:ascii="Arial" w:hAnsi="Arial" w:cs="Arial"/>
        </w:rPr>
      </w:pPr>
      <w:r w:rsidRPr="006C7841">
        <w:rPr>
          <w:rFonts w:ascii="Arial" w:hAnsi="Arial" w:cs="Arial"/>
          <w:u w:val="single"/>
        </w:rPr>
        <w:t>Coverage B</w:t>
      </w:r>
      <w:r w:rsidRPr="005C4DC6">
        <w:rPr>
          <w:rFonts w:ascii="Arial" w:hAnsi="Arial" w:cs="Arial"/>
        </w:rPr>
        <w:t xml:space="preserve"> shall include personal injury.</w:t>
      </w:r>
    </w:p>
    <w:p w14:paraId="532433C4" w14:textId="77777777" w:rsidR="0022372B" w:rsidRPr="005C4DC6" w:rsidRDefault="0022372B" w:rsidP="0022372B">
      <w:pPr>
        <w:pStyle w:val="ListParagraph"/>
        <w:spacing w:after="120"/>
        <w:ind w:left="1440"/>
        <w:contextualSpacing w:val="0"/>
        <w:jc w:val="both"/>
        <w:rPr>
          <w:rFonts w:ascii="Arial" w:hAnsi="Arial" w:cs="Arial"/>
        </w:rPr>
      </w:pPr>
      <w:r w:rsidRPr="006C7841">
        <w:rPr>
          <w:rFonts w:ascii="Arial" w:hAnsi="Arial" w:cs="Arial"/>
          <w:u w:val="single"/>
        </w:rPr>
        <w:t>Coverage C</w:t>
      </w:r>
      <w:r w:rsidRPr="005C4DC6">
        <w:rPr>
          <w:rFonts w:ascii="Arial" w:hAnsi="Arial" w:cs="Arial"/>
        </w:rPr>
        <w:t>, medical payments, is required.</w:t>
      </w:r>
    </w:p>
    <w:p w14:paraId="2EE2C956" w14:textId="77777777" w:rsidR="0022372B" w:rsidRPr="005C4DC6" w:rsidRDefault="0022372B" w:rsidP="0022372B">
      <w:pPr>
        <w:pStyle w:val="ListParagraph"/>
        <w:spacing w:after="120"/>
        <w:ind w:left="1440"/>
        <w:contextualSpacing w:val="0"/>
        <w:jc w:val="both"/>
        <w:rPr>
          <w:rFonts w:ascii="Arial" w:hAnsi="Arial" w:cs="Arial"/>
        </w:rPr>
      </w:pPr>
      <w:r w:rsidRPr="005C4DC6">
        <w:rPr>
          <w:rFonts w:ascii="Arial" w:hAnsi="Arial" w:cs="Arial"/>
        </w:rPr>
        <w:t>The contractor is required to continue to purchase products and completed operations coverage, at least to satisfy this agreement, contract or lease, for a minimum of three years beyond the County’s acceptance of renovation or construction projects.</w:t>
      </w:r>
    </w:p>
    <w:p w14:paraId="7A65D1AC" w14:textId="5D3C2AD2" w:rsidR="00EA25C5" w:rsidRPr="00E6186B" w:rsidRDefault="0022372B" w:rsidP="00B953B9">
      <w:pPr>
        <w:pStyle w:val="ListParagraph"/>
        <w:numPr>
          <w:ilvl w:val="0"/>
          <w:numId w:val="2"/>
        </w:numPr>
        <w:rPr>
          <w:sz w:val="28"/>
          <w:szCs w:val="28"/>
        </w:rPr>
      </w:pPr>
      <w:r w:rsidRPr="00E6186B">
        <w:rPr>
          <w:b/>
          <w:bCs/>
          <w:sz w:val="28"/>
          <w:szCs w:val="28"/>
          <w:u w:val="single"/>
        </w:rPr>
        <w:t xml:space="preserve"> Business Auto Liability Coverage</w:t>
      </w:r>
    </w:p>
    <w:p w14:paraId="6843A236" w14:textId="3C046B77" w:rsidR="00E6186B" w:rsidRPr="00E6186B" w:rsidRDefault="00E6186B" w:rsidP="00E6186B">
      <w:pPr>
        <w:pStyle w:val="ListParagraph"/>
        <w:ind w:left="1800"/>
        <w:rPr>
          <w:sz w:val="28"/>
          <w:szCs w:val="28"/>
        </w:rPr>
      </w:pPr>
      <w:r w:rsidRPr="0022372B">
        <w:rPr>
          <w:rFonts w:ascii="Arial" w:hAnsi="Arial" w:cs="Arial"/>
        </w:rPr>
        <w:t>$1,000,000 per occurrence.</w:t>
      </w:r>
    </w:p>
    <w:p w14:paraId="7014E676" w14:textId="02E047E6" w:rsidR="00974981" w:rsidRPr="00E6186B" w:rsidRDefault="00974981" w:rsidP="00974981">
      <w:pPr>
        <w:spacing w:after="120"/>
        <w:ind w:left="1440"/>
        <w:jc w:val="both"/>
        <w:rPr>
          <w:rFonts w:ascii="Arial" w:hAnsi="Arial" w:cs="Arial"/>
        </w:rPr>
      </w:pPr>
      <w:r w:rsidRPr="00E6186B">
        <w:rPr>
          <w:rFonts w:ascii="Arial" w:hAnsi="Arial" w:cs="Arial"/>
        </w:rPr>
        <w:t xml:space="preserve"> Business auto liability coverage is to include bodily injury and property damage arising out of ownership, maintenance or use of any auto, including owned, non-owned and hired automobiles and employee non-ownership use.</w:t>
      </w:r>
    </w:p>
    <w:p w14:paraId="6CBFC59D" w14:textId="323DE9F1" w:rsidR="00EA25C5" w:rsidRDefault="00974981" w:rsidP="00E6186B">
      <w:pPr>
        <w:spacing w:after="120"/>
        <w:ind w:left="1440"/>
        <w:jc w:val="both"/>
        <w:rPr>
          <w:rFonts w:ascii="Arial" w:hAnsi="Arial" w:cs="Arial"/>
          <w:b/>
        </w:rPr>
      </w:pPr>
      <w:r w:rsidRPr="00E6186B">
        <w:rPr>
          <w:rFonts w:ascii="Arial" w:hAnsi="Arial" w:cs="Arial"/>
          <w:b/>
        </w:rPr>
        <w:t>The</w:t>
      </w:r>
      <w:r w:rsidR="00FA05F5">
        <w:rPr>
          <w:rFonts w:ascii="Arial" w:hAnsi="Arial" w:cs="Arial"/>
          <w:b/>
        </w:rPr>
        <w:t xml:space="preserve"> </w:t>
      </w:r>
      <w:r w:rsidRPr="00E6186B">
        <w:rPr>
          <w:rFonts w:ascii="Arial" w:hAnsi="Arial" w:cs="Arial"/>
          <w:b/>
        </w:rPr>
        <w:t>Liability policies shall be endorsed to include Escambia County as an additional insured and provide for 30-day notification of cancellation.</w:t>
      </w:r>
    </w:p>
    <w:p w14:paraId="2B556209" w14:textId="059EBAE8" w:rsidR="00E6186B" w:rsidRDefault="00E6186B" w:rsidP="00E6186B">
      <w:pPr>
        <w:spacing w:after="120"/>
        <w:ind w:left="1440"/>
        <w:jc w:val="both"/>
        <w:rPr>
          <w:rFonts w:ascii="Arial" w:hAnsi="Arial" w:cs="Arial"/>
          <w:b/>
        </w:rPr>
      </w:pPr>
    </w:p>
    <w:p w14:paraId="4AF64AFF" w14:textId="77777777" w:rsidR="003631BF" w:rsidRDefault="003631BF" w:rsidP="00E6186B">
      <w:pPr>
        <w:spacing w:after="120"/>
        <w:ind w:left="1440"/>
        <w:jc w:val="both"/>
        <w:rPr>
          <w:b/>
          <w:bCs/>
          <w:sz w:val="28"/>
          <w:szCs w:val="28"/>
        </w:rPr>
      </w:pPr>
    </w:p>
    <w:p w14:paraId="3F28FBE0" w14:textId="351D9552" w:rsidR="00E6186B" w:rsidRDefault="00E6186B" w:rsidP="00E6186B">
      <w:pPr>
        <w:spacing w:after="120"/>
        <w:ind w:left="1440"/>
        <w:jc w:val="both"/>
        <w:rPr>
          <w:b/>
          <w:bCs/>
          <w:sz w:val="28"/>
          <w:szCs w:val="28"/>
        </w:rPr>
      </w:pPr>
      <w:r>
        <w:rPr>
          <w:b/>
          <w:bCs/>
          <w:sz w:val="28"/>
          <w:szCs w:val="28"/>
        </w:rPr>
        <w:lastRenderedPageBreak/>
        <w:t>Demolition Contractors only</w:t>
      </w:r>
      <w:r w:rsidR="001F543E">
        <w:rPr>
          <w:b/>
          <w:bCs/>
          <w:sz w:val="28"/>
          <w:szCs w:val="28"/>
        </w:rPr>
        <w:t xml:space="preserve"> for #4</w:t>
      </w:r>
    </w:p>
    <w:p w14:paraId="0EC6E68A" w14:textId="5157EBBC" w:rsidR="00E6186B" w:rsidRPr="00E6186B" w:rsidRDefault="00E6186B" w:rsidP="00E6186B">
      <w:pPr>
        <w:pStyle w:val="NoSpacing"/>
        <w:numPr>
          <w:ilvl w:val="0"/>
          <w:numId w:val="2"/>
        </w:numPr>
        <w:jc w:val="both"/>
        <w:rPr>
          <w:rFonts w:ascii="Arial" w:hAnsi="Arial" w:cs="Arial"/>
        </w:rPr>
      </w:pPr>
      <w:r>
        <w:rPr>
          <w:b/>
          <w:bCs/>
          <w:sz w:val="28"/>
          <w:szCs w:val="28"/>
        </w:rPr>
        <w:t xml:space="preserve">  Pollution(</w:t>
      </w:r>
      <w:r w:rsidR="00EA25C5">
        <w:rPr>
          <w:b/>
          <w:bCs/>
          <w:sz w:val="28"/>
          <w:szCs w:val="28"/>
        </w:rPr>
        <w:t>Environmental</w:t>
      </w:r>
      <w:r>
        <w:rPr>
          <w:b/>
          <w:bCs/>
          <w:sz w:val="28"/>
          <w:szCs w:val="28"/>
        </w:rPr>
        <w:t>)</w:t>
      </w:r>
      <w:r w:rsidR="00EA25C5">
        <w:rPr>
          <w:b/>
          <w:bCs/>
          <w:sz w:val="28"/>
          <w:szCs w:val="28"/>
        </w:rPr>
        <w:t>Liability</w:t>
      </w:r>
      <w:r w:rsidR="00CD104E">
        <w:rPr>
          <w:b/>
          <w:bCs/>
          <w:sz w:val="28"/>
          <w:szCs w:val="28"/>
        </w:rPr>
        <w:t>-</w:t>
      </w:r>
      <w:r w:rsidR="00CD104E">
        <w:t xml:space="preserve"> </w:t>
      </w:r>
      <w:r w:rsidRPr="0022372B">
        <w:rPr>
          <w:rFonts w:ascii="Arial" w:hAnsi="Arial" w:cs="Arial"/>
        </w:rPr>
        <w:t>$1,000,000 per occurrence and $2,000,000 annual aggregate</w:t>
      </w:r>
      <w:r>
        <w:rPr>
          <w:rFonts w:ascii="Arial" w:hAnsi="Arial" w:cs="Arial"/>
        </w:rPr>
        <w:t xml:space="preserve">, </w:t>
      </w:r>
      <w:r w:rsidRPr="00E6186B">
        <w:rPr>
          <w:rFonts w:ascii="Arial" w:hAnsi="Arial" w:cs="Arial"/>
        </w:rPr>
        <w:t>but should be increased to reflect the scope and potential severity of the project.</w:t>
      </w:r>
      <w:r>
        <w:rPr>
          <w:rFonts w:ascii="Arial" w:hAnsi="Arial" w:cs="Arial"/>
        </w:rPr>
        <w:t xml:space="preserve">  For single family homes or small businesses this should be sufficient. </w:t>
      </w:r>
      <w:r w:rsidRPr="00E6186B">
        <w:rPr>
          <w:rFonts w:ascii="Arial" w:hAnsi="Arial" w:cs="Arial"/>
        </w:rPr>
        <w:t xml:space="preserve"> </w:t>
      </w:r>
    </w:p>
    <w:p w14:paraId="0B5AC731" w14:textId="78E4CB59" w:rsidR="00CD104E" w:rsidRPr="00E6186B" w:rsidRDefault="00CD104E" w:rsidP="00E6186B">
      <w:pPr>
        <w:pStyle w:val="NoSpacing"/>
        <w:ind w:left="1800"/>
        <w:jc w:val="both"/>
        <w:rPr>
          <w:rFonts w:ascii="Arial" w:hAnsi="Arial" w:cs="Arial"/>
        </w:rPr>
      </w:pPr>
      <w:r w:rsidRPr="00E6186B">
        <w:rPr>
          <w:rFonts w:ascii="Arial" w:hAnsi="Arial" w:cs="Arial"/>
        </w:rPr>
        <w:t xml:space="preserve">If contract involves potential pollution risk to the environment from working in, on or beneath the surface of the land (or water) or involves a system such as HVAC or refrigeration that contains a potential pollutant, coverage for Contractor’s Pollution Liability is required.  Policy should cover the Offeror’s completed operations and be required to remain in effect up to the statute of repose after project completion. Coverage shall apply to sudden and gradual pollution conditions resulting from the escape or release of smoke, vapors, fumes, acids, alkalis, toxic chemicals, liquids or gases, natural gas, waste materials or other irritants, contaminants, or pollutants, including asbestos.  If the coverage is written on a claims-made basis, the Offeror warrants that any retroactive date on the policy applicable to this project precedes the effective date of this contract.  </w:t>
      </w:r>
    </w:p>
    <w:p w14:paraId="34986C62" w14:textId="77777777" w:rsidR="00CD104E" w:rsidRDefault="00CD104E" w:rsidP="00CD104E">
      <w:pPr>
        <w:pStyle w:val="NoSpacing"/>
        <w:jc w:val="both"/>
      </w:pPr>
    </w:p>
    <w:p w14:paraId="68CDB0FC" w14:textId="31EBBEC0" w:rsidR="00EA25C5" w:rsidRPr="00EA25C5" w:rsidRDefault="00EA25C5" w:rsidP="00CD104E">
      <w:pPr>
        <w:rPr>
          <w:b/>
          <w:bCs/>
          <w:sz w:val="28"/>
          <w:szCs w:val="28"/>
        </w:rPr>
      </w:pPr>
    </w:p>
    <w:p w14:paraId="65C439D2" w14:textId="5CEEABA1" w:rsidR="00EA25C5" w:rsidRPr="00EA25C5" w:rsidRDefault="00EA25C5" w:rsidP="00EA25C5">
      <w:pPr>
        <w:rPr>
          <w:sz w:val="28"/>
          <w:szCs w:val="28"/>
        </w:rPr>
      </w:pPr>
    </w:p>
    <w:p w14:paraId="6CF17BA0" w14:textId="33EB08C7" w:rsidR="00EA25C5" w:rsidRDefault="00EA25C5" w:rsidP="00EA25C5">
      <w:pPr>
        <w:rPr>
          <w:sz w:val="28"/>
          <w:szCs w:val="28"/>
        </w:rPr>
      </w:pPr>
    </w:p>
    <w:p w14:paraId="0A6BD482" w14:textId="77777777" w:rsidR="00EA25C5" w:rsidRDefault="00EA25C5" w:rsidP="00EA25C5">
      <w:pPr>
        <w:rPr>
          <w:sz w:val="28"/>
          <w:szCs w:val="28"/>
        </w:rPr>
      </w:pPr>
    </w:p>
    <w:p w14:paraId="3BCF613D" w14:textId="77777777" w:rsidR="00EA25C5" w:rsidRPr="00EA25C5" w:rsidRDefault="00EA25C5" w:rsidP="00EA25C5">
      <w:pPr>
        <w:rPr>
          <w:sz w:val="24"/>
          <w:szCs w:val="24"/>
        </w:rPr>
      </w:pPr>
    </w:p>
    <w:sectPr w:rsidR="00EA25C5" w:rsidRPr="00EA2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E295FC6"/>
    <w:multiLevelType w:val="hybridMultilevel"/>
    <w:tmpl w:val="22AA1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01AE0"/>
    <w:multiLevelType w:val="hybridMultilevel"/>
    <w:tmpl w:val="BA3E5AFA"/>
    <w:lvl w:ilvl="0" w:tplc="F9A039EE">
      <w:start w:val="1"/>
      <w:numFmt w:val="decimal"/>
      <w:lvlText w:val="%1.)"/>
      <w:lvlJc w:val="left"/>
      <w:pPr>
        <w:ind w:left="1800" w:hanging="360"/>
      </w:pPr>
      <w:rPr>
        <w:rFonts w:ascii="Calibri" w:hAnsi="Calibri" w:cs="Times New Roman" w:hint="default"/>
        <w:sz w:val="28"/>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C5"/>
    <w:rsid w:val="000C0D61"/>
    <w:rsid w:val="001F543E"/>
    <w:rsid w:val="0022372B"/>
    <w:rsid w:val="003631BF"/>
    <w:rsid w:val="00404863"/>
    <w:rsid w:val="006C7841"/>
    <w:rsid w:val="00866D70"/>
    <w:rsid w:val="00974981"/>
    <w:rsid w:val="009C7E85"/>
    <w:rsid w:val="00AE55CF"/>
    <w:rsid w:val="00B316F0"/>
    <w:rsid w:val="00C0704F"/>
    <w:rsid w:val="00CD104E"/>
    <w:rsid w:val="00D36097"/>
    <w:rsid w:val="00E6186B"/>
    <w:rsid w:val="00EA25C5"/>
    <w:rsid w:val="00F51875"/>
    <w:rsid w:val="00FA0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7D90"/>
  <w15:chartTrackingRefBased/>
  <w15:docId w15:val="{B7C0F9BC-0BA6-4172-8864-D1457890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981"/>
    <w:pPr>
      <w:spacing w:after="0" w:line="240" w:lineRule="auto"/>
      <w:ind w:left="720"/>
      <w:contextualSpacing/>
    </w:pPr>
    <w:rPr>
      <w:rFonts w:ascii="Calibri" w:eastAsia="Calibri" w:hAnsi="Calibri" w:cs="Times New Roman"/>
    </w:rPr>
  </w:style>
  <w:style w:type="paragraph" w:styleId="NoSpacing">
    <w:name w:val="No Spacing"/>
    <w:uiPriority w:val="1"/>
    <w:qFormat/>
    <w:rsid w:val="00CD1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 Bartlett</dc:creator>
  <cp:keywords/>
  <dc:description/>
  <cp:lastModifiedBy>Joseph M. Bishop</cp:lastModifiedBy>
  <cp:revision>2</cp:revision>
  <dcterms:created xsi:type="dcterms:W3CDTF">2022-07-28T20:39:00Z</dcterms:created>
  <dcterms:modified xsi:type="dcterms:W3CDTF">2022-07-28T20:39:00Z</dcterms:modified>
</cp:coreProperties>
</file>