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26" w:rsidRPr="006853D1" w:rsidRDefault="00583526" w:rsidP="00583526">
      <w:pPr>
        <w:pBdr>
          <w:top w:val="single" w:sz="12" w:space="1" w:color="auto"/>
          <w:bottom w:val="single" w:sz="12" w:space="1" w:color="auto"/>
        </w:pBdr>
        <w:jc w:val="center"/>
        <w:rPr>
          <w:rFonts w:eastAsia="Times New Roman" w:cs="Calibri"/>
          <w:b/>
          <w:bCs/>
          <w:sz w:val="32"/>
          <w:szCs w:val="20"/>
        </w:rPr>
      </w:pPr>
      <w:r w:rsidRPr="006853D1">
        <w:rPr>
          <w:rFonts w:eastAsia="Times New Roman" w:cs="Calibri"/>
          <w:b/>
          <w:bCs/>
          <w:sz w:val="32"/>
          <w:szCs w:val="20"/>
        </w:rPr>
        <w:t>Sample Consulting Agreement</w:t>
      </w:r>
    </w:p>
    <w:p w:rsidR="00583526" w:rsidRPr="006853D1" w:rsidRDefault="00583526" w:rsidP="00583526">
      <w:pPr>
        <w:rPr>
          <w:rFonts w:cs="Calibri"/>
          <w:sz w:val="16"/>
          <w:szCs w:val="16"/>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entered into this </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day of</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2023, by and between INDIAN RIVER COUNTY, a political subdivision of the State of Florida, hereinafter referred to as the “COUNTY”, and </w:t>
      </w:r>
      <w:r w:rsidRPr="006853D1">
        <w:rPr>
          <w:rFonts w:eastAsia="Times New Roman" w:cs="Calibri"/>
          <w:spacing w:val="-2"/>
          <w:szCs w:val="20"/>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hereinafter referred to as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center"/>
        <w:rPr>
          <w:rFonts w:eastAsia="Times New Roman" w:cs="Calibri"/>
          <w:spacing w:val="-2"/>
          <w:sz w:val="28"/>
          <w:szCs w:val="28"/>
        </w:rPr>
      </w:pPr>
      <w:r w:rsidRPr="006853D1">
        <w:rPr>
          <w:rFonts w:eastAsia="Times New Roman" w:cs="Calibri"/>
          <w:spacing w:val="-2"/>
          <w:sz w:val="28"/>
          <w:szCs w:val="28"/>
        </w:rPr>
        <w:t>BACKGROUND RECITALS:</w:t>
      </w:r>
    </w:p>
    <w:p w:rsidR="00583526" w:rsidRPr="006853D1" w:rsidRDefault="00583526" w:rsidP="00583526">
      <w:pPr>
        <w:spacing w:before="277" w:line="268" w:lineRule="exact"/>
        <w:jc w:val="both"/>
        <w:textAlignment w:val="baseline"/>
        <w:rPr>
          <w:rFonts w:cs="Calibri"/>
          <w:color w:val="000000"/>
        </w:rPr>
      </w:pPr>
      <w:r w:rsidRPr="006853D1">
        <w:rPr>
          <w:rFonts w:cs="Calibri"/>
          <w:color w:val="000000"/>
        </w:rPr>
        <w:t xml:space="preserve">The COUNTY selected CONSULTANT to perform and provide a </w:t>
      </w:r>
      <w:r w:rsidR="007D211D" w:rsidRPr="006853D1">
        <w:rPr>
          <w:rFonts w:cs="Calibri"/>
          <w:color w:val="000000"/>
        </w:rPr>
        <w:t xml:space="preserve">Department of Utility Services </w:t>
      </w:r>
      <w:r w:rsidRPr="006853D1">
        <w:rPr>
          <w:rFonts w:cs="Calibri"/>
          <w:color w:val="000000"/>
        </w:rPr>
        <w:t>Comprehensive Rate Study</w:t>
      </w:r>
      <w:r w:rsidR="007D211D" w:rsidRPr="006853D1">
        <w:rPr>
          <w:rFonts w:cs="Calibri"/>
          <w:color w:val="000000"/>
        </w:rPr>
        <w:t xml:space="preserve"> </w:t>
      </w:r>
      <w:r w:rsidRPr="006853D1">
        <w:rPr>
          <w:rFonts w:cs="Calibri"/>
          <w:color w:val="000000"/>
        </w:rPr>
        <w:t>(“Services”), based on a proposal submitted in response to Request for Proposals 20240</w:t>
      </w:r>
      <w:r w:rsidR="0037699C">
        <w:rPr>
          <w:rFonts w:cs="Calibri"/>
          <w:color w:val="000000"/>
        </w:rPr>
        <w:t>25</w:t>
      </w:r>
      <w:r w:rsidRPr="006853D1">
        <w:rPr>
          <w:rFonts w:cs="Calibri"/>
          <w:color w:val="000000"/>
        </w:rPr>
        <w: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7D211D"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w:t>
      </w:r>
      <w:r w:rsidR="00583526" w:rsidRPr="006853D1">
        <w:rPr>
          <w:rFonts w:eastAsia="Times New Roman" w:cs="Calibri"/>
          <w:spacing w:val="-2"/>
          <w:szCs w:val="20"/>
        </w:rPr>
        <w:t xml:space="preserve">he COUNTY and the CONSULTANT, in consideration of their mutual covenants, herein agree with respect to the performance of professional consulting services by the CONSULTANT, and the payment for those services by the COUNTY, as set forth in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provide the COUNTY with consulting services and such other related services as defined in the scope of work, provided as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NOW THEREFORE, in accordance with the mutual covenants herein contained and other good and valuable consideration, the receipt and sufficiency of which are hereby acknowledged, the parties agree as follows: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1. COUNTY OBLIGATIONS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will provide the CONSULTANT with a copy of any preliminary data or reports available as required in connection with the work to be performed under this Agreement, together with all available documents in the possession of the COUNTY pertinent to the Services. The CONSULTANT shall satisfy itself as to accuracy of any data provided. The CONSULTANT is responsible for bringing to the COUNTY's attention, for the County's resolution, material inconsistencies or errors in such data that come to the CONSULTANT'S attention.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The COUNTY shall arrange for access to, and make provisions for the CONSULTANT to enter upon, public and private property (where required) as necessary for the CONSULTANT to perform its Services, upon timely written request of CONSULTANT to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not be considered in default for a failure to perform if such failure arises out of causes reasonably beyond the CONSULTANT's control and through no fault or negligence of the CONSULTANT. The parties acknowledge that adverse weather conditions, acts of God, or other unforeseen circumstances of a similar nature, may necessitate modifications to this Agreement. If such conditions and circumstances do in fact occur, then the COUNTY and CONSULTANT shall mutually agree, in writing, to the modifications to be made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2. RESPONSIBILITIES OF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agrees to perform all necessary Services in connection with the work set forth in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agrees to complete the work within the time frame specified.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maintain an adequate staff of qualified personnel.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The CONSULTANT will comply with all present and future federal, state, and local laws, rules, regulations, policies, codes, and guidelines applicable to the Services performed under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during the entire term of this Agreement, procure and keep in full force, effect, and good standing any and all necessary licenses, registrations, certificates,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fully with the COUNTY in order that all phases of the work may be properly scheduled and coordinated.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and coordinate with other COUNTY CONSULTANTS, as directed by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report the status of the Services under this Agreement to the County Project Manager upon request, and hold all drawings, calculations and related work open to the inspection of the County Project Manager or his authorized agent at any time, upon reasonable request.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documents, reports,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and upon final payment, all of the above data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not assign or transfer any work under this Agreement without the prior written consent of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3. TERM; DURATION OF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shall remain in full force and effect for a period of </w:t>
      </w:r>
      <w:r w:rsidR="006853D1">
        <w:rPr>
          <w:rFonts w:eastAsia="Times New Roman" w:cs="Calibri"/>
          <w:spacing w:val="-2"/>
          <w:szCs w:val="20"/>
        </w:rPr>
        <w:t>three years</w:t>
      </w:r>
      <w:r w:rsidRPr="006853D1">
        <w:rPr>
          <w:rFonts w:eastAsia="Times New Roman" w:cs="Calibri"/>
          <w:spacing w:val="-2"/>
          <w:szCs w:val="20"/>
        </w:rPr>
        <w:t xml:space="preserve">, after the date of execution thereof, or upon completion of all project phases as defined by the COUNTY, whichever occurs earlier, unless otherwise terminated by mutual consent of the parties hereto, or terminated pursuant to Section 8 "Termination". </w:t>
      </w:r>
      <w:r w:rsidR="00CF485E">
        <w:rPr>
          <w:rFonts w:eastAsia="Times New Roman" w:cs="Calibri"/>
          <w:spacing w:val="-2"/>
          <w:szCs w:val="20"/>
        </w:rPr>
        <w:t xml:space="preserve"> The agreement may be renewed for two one-year periods, upon mutual consent of the parties.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4. COMPENSATION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COUNTY shall pay to the CONSULTANT a mutually agreed upon maximum amount not-to-exceed professional fee for each completed task, on a deliverable basis, all as set forth in Exhibit 1. </w:t>
      </w:r>
      <w:r w:rsidR="007D211D" w:rsidRPr="006853D1">
        <w:rPr>
          <w:rFonts w:eastAsia="Times New Roman" w:cs="Calibri"/>
          <w:spacing w:val="-2"/>
          <w:szCs w:val="20"/>
        </w:rPr>
        <w:t>I</w:t>
      </w:r>
      <w:r w:rsidRPr="006853D1">
        <w:rPr>
          <w:rFonts w:eastAsia="Times New Roman" w:cs="Calibri"/>
          <w:spacing w:val="-2"/>
          <w:szCs w:val="20"/>
        </w:rPr>
        <w:t xml:space="preserve">nvoices shall be submitted to the County Project Manager, in detail sufficient for proper prepayment and post payment audit. Upon submittal of a proper invoice the County Project Manager will determine if the tasks or portions thereof have been satisfactorily completed. Upon a determination of satisfactory completion, the County Project Manager will authorize payment to be made. All payments for services shall be made to the CONSULTANT by the COUNTY in accordance with the Florida Prompt Payment Act, as may be amended from time to time (Section 218.70, Florida Statutes, et seq.).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 xml:space="preserve">No additional payment will be due to the CONSULTANT for administrative copies, printing, per diem, meals and lodgings, taxi fares and miscellaneous travel-connected expenses for CONSULTANT's personnel.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notify the CONSULTANT of requested changes to the Services, and thereupon the COUNTY and the CONSULTANT shall execute a mutually agreeable amendment to this agreement. Should this amendment result in the reduction in services, the CONSULTANT shall be paid for the Services already performed and also for the Services remaining to be done and not reduced or eliminated, upon submission of invoices as set forth in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and for any reason, direct the CONSULTANT to suspend Services, in whole or in part under this Agreement. Such direction shall be in writing, and shall specify the period during which Services shall be stopped. The CONSULTANT shall resume its Services upon the date specified, or upon such other date as the COUNTY may thereafter specify in writing. Where the COUNTY has suspended the Services under this Agreement for a period in excess of six (6) months, the compensation of CONSULTANT for such suspended Services may be subject to modification. The period during which the Services are stopped by the COUNTY shall be added to the time of performance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5. ADDITIONAL WORK</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 consultant, such additional services by a written amendment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6.</w:t>
      </w:r>
      <w:r w:rsidRPr="006853D1">
        <w:rPr>
          <w:rFonts w:eastAsia="Times New Roman" w:cs="Calibri"/>
          <w:spacing w:val="-2"/>
          <w:szCs w:val="20"/>
        </w:rPr>
        <w:tab/>
        <w:t>OWNERSHIP AND REUSE OF DOCUMENTS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Ownership and Copyright:  Ownership and copyright of all reports, tracings, plans, electronic files, specifications, field books, survey information, maps, contract documents, and other data first developed by the CONSULTANT pursuant to this Agreement, shall be vested in the COUNTY.  Said materials shall be made available to the COUNTY by the CONSULTANT at any time during normal business hours upon reasonable request of the COUNTY.  On or before the tenth day after all work contemplated under this Agreement or individual Work Order is complete, all of the above materials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Reuse of Documents:  All documents, including but not limited to reports, drawings and specifications, prepared or performed by the CONSULTANT pursuant to this Agreement, are related exclusively to the services described herein.  They are not intended or represented to be suitable for reuse by the COUNTY or others on extensions of this project or on any other project.  The COUNTY’s reuse of any document or drawing shall be at the COUNTY’s own risk.  The COUNTY shall not hold the CONSULTANT liable for any misuse by others.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7.</w:t>
      </w:r>
      <w:r w:rsidRPr="006853D1">
        <w:rPr>
          <w:rFonts w:eastAsia="Times New Roman" w:cs="Calibri"/>
          <w:spacing w:val="-2"/>
          <w:szCs w:val="20"/>
        </w:rPr>
        <w:tab/>
        <w:t>INSURANCE AND INDEMNIFICATION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During the performance of the work covered by this Agreement, the CONSULTANT shall provide the COUNTY with evidence that the CONSULTANT has obtained and maintains the insurance listed in the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shall maintain for the duration of the Agreement, insurance against claims for injuries to persons or damages to property which may arise from or in connection with the performance of the work hereunder by the CONSULTANT, its agents, representatives, or employees.  The cost of such insurance shall be included in the CONSULTANT’s fees.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Minimum Scope of Insurance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w:t>
      </w:r>
      <w:r w:rsidRPr="006853D1">
        <w:rPr>
          <w:rFonts w:eastAsia="Times New Roman" w:cs="Calibri"/>
          <w:spacing w:val="-2"/>
          <w:szCs w:val="20"/>
        </w:rPr>
        <w:tab/>
        <w:t>Worker’s Compensation as required by the State of Florida.  Employers Liability of $100,000 each accident, $500,000 disease policy limit, and $100,000 disease each employee.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B.</w:t>
      </w:r>
      <w:r w:rsidRPr="006853D1">
        <w:rPr>
          <w:rFonts w:eastAsia="Times New Roman" w:cs="Calibri"/>
          <w:spacing w:val="-2"/>
          <w:szCs w:val="20"/>
        </w:rPr>
        <w:tab/>
        <w:t>General Liability $1,000,000 combined single limit per accident for bodily injury and property damage.  Coverage shall include premises/operations, products/completed operations, contractual liability, and independent contractors.  COUNTY shall be named an “Additional Insured” on the certificate of insurance.</w:t>
      </w:r>
    </w:p>
    <w:p w:rsidR="003103F7"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w:t>
      </w:r>
      <w:r w:rsidRPr="006853D1">
        <w:rPr>
          <w:rFonts w:eastAsia="Times New Roman" w:cs="Calibri"/>
          <w:spacing w:val="-2"/>
          <w:szCs w:val="20"/>
        </w:rPr>
        <w:tab/>
        <w:t xml:space="preserve">Auto Liability $500,000 combined single limit per accident for bodily injury and property damage.  Coverage shall include owned vehicles, hired vehicles, and non-owned vehicles. </w:t>
      </w:r>
    </w:p>
    <w:p w:rsidR="00583526" w:rsidRPr="006853D1" w:rsidRDefault="003103F7"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Pr>
          <w:rFonts w:eastAsia="Times New Roman" w:cs="Calibri"/>
          <w:spacing w:val="-2"/>
          <w:szCs w:val="20"/>
        </w:rPr>
        <w:t>D.  Professional Liability $1,000,000 per occurrence, $2,000,000 aggregate combined single limit.</w:t>
      </w:r>
      <w:r w:rsidR="00583526"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CONSULTANT’s insurance coverage shall be primary.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above insurance policies shall be placed with insurers with a Best’s rating of no less that A-VII.  The insurer chosen shall also be licensed to do business in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insurance policies procured shall be occurrence forms, not claims made policies.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insurance companies chosen shall provide certificates of insurance prior to signing of contracts, to the Indian River County Risk Management Department.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ensure any subconsultants to maintain the insurance as detailed herein.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CONSULTANT and other persons employed or utilized by the CONSULTANT in the performance of the contract.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8. TERMINATION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by the COUNTY, the COUNTY's sole obligation to the CONSULTANT shall be payment for those portions of satisfactorily completed work previously authorized. Such payment shall be determined on the basis of the percentage of work complete, as estimated by the CONSULTANT and agreed upon by the COUNTY up to the time of termination. In the event of such termination, the COUNTY may, without penalty or other obligation to the CONSULTANT, elect to employ other persons to perform the same or similar services.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obligation to provide services under this Agreement may be terminated by either party upon seven (7) days prior written notice in the event of substantial failure by the other party to perform in accordance with the terms of this Agreement through no fault of the terminating party.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that the CONSULTANT merges with another company, becomes a subsidiary of, or makes any other substantial change in structure, the COUNTY reserves the right to terminate this Agreement in accordance with its terms.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of this Agreement, the CONSULTANT agrees to surrender any and all documents first prepared by the CONSULTANT for the COUNTY in connection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in whole or in part if the CONSULTANT submits a false invoice to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that Boycott Israel List, created pursuant to s. 215.4725 of the Florida Statutes, and are not engaged in a boycott of Israel. OWNER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9. MISCELLANEOUS PROVISIONS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Independent Contractor. It is specifically understood and acknowledged by the parties hereto that the CONSULTANT or employees or sub-consultants of the CONSULTANT are in no way to be considered employees of the COUNTY, but are independent contractors performing solely under the terms of the Agreement and not otherwise.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Governing Law; Venue. This Agreement, including all attachments hereto, shall be construed according to the laws of the State of Florida. Venue for any lawsuit brought by either party against the other party or otherwise arising out of this Agreement shall be in Indian River County, Florida, or, in the event of federal jurisdiction, in the United States District Court for the Southern District of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Remedies; No Waiver. All remedies provided in this Agreement shall be deemed cumulative and additional, and not in lieu or exclusive of each other or of any other remedy available to either party, at law or in equity. Each right, power and remedy of the parties provided for in this Agreement shall be cumulative and concurrent and shall be in </w:t>
      </w:r>
      <w:r w:rsidRPr="006853D1">
        <w:rPr>
          <w:rFonts w:eastAsia="Times New Roman" w:cs="Calibri"/>
          <w:spacing w:val="-2"/>
          <w:szCs w:val="20"/>
        </w:rPr>
        <w:lastRenderedPageBreak/>
        <w:t>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Availability of Funds. The obligations of the COUNTY under this Agreement are subject to the availability of funds lawfully appropriated for its purpose by the Board of County Commissioners of Indian River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 Pledge of Credit. The CONSULTANT shall not pledge the COUNTY's credit or make it a guarantor of payment or surety for any contract, debt, obligation, judgment, lien, or any form of indebtedness.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Survival. Except as otherwise expressly provided herein, each obligation in this Agreement to be performed by CONSULTANT shall survive the termination or expiration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Counterparts. This Agreement may be executed in one or more counterparts, each of which shall be deemed to be an original copy and all of which shall constitute but one and the same instrument.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10. Public Records Compliance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Indian River County is a public agency subject to Chapter 119, Florida Statutes.  The Consultant shall comply with Florida's Public Records Law.  Specifically, the Consultant shall: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    Keep and maintain public records required by the County to perform the service.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(4)    Upon completion of the contract, transfer, at no cost, to the County all public records in possession of the Consultant or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contractor keeps and maintains public records upon completion of the contract, the Consultant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B.      IF THE CONSULTANT HAS QUESTIONS REGARDING THE APPLICATION OF CHAPTER 119, FLORIDA STATUTES, TO THE CONSULTANT'S DUTY TO PROVIDE PUBLIC RECORDS RELATING TO THIS CONTRACT, CONTACT THE CUSTODIAN OF PUBLIC RECORDS AT: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(772) 226-1424</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publicrecords@i</w:t>
      </w:r>
      <w:r w:rsidR="00A14A98">
        <w:rPr>
          <w:rFonts w:eastAsia="Times New Roman" w:cs="Calibri"/>
          <w:b/>
          <w:spacing w:val="-2"/>
          <w:sz w:val="28"/>
          <w:szCs w:val="28"/>
        </w:rPr>
        <w:t>ndianriver.gov</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Indian River County Office of the County Attorney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1801 27th Street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Vero Beach, FL 32960</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C.  Failure of the Consultant to comply with these requirements shall be a material breach of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IN WITNESS WHEREOF, the parties hereto have executed this Agreement as of the date first written above.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583526" w:rsidRPr="006853D1" w:rsidTr="00F006F1">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OWNER:</w:t>
            </w: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CONSULTANT:</w:t>
            </w:r>
          </w:p>
        </w:tc>
      </w:tr>
      <w:tr w:rsidR="00583526" w:rsidRPr="006853D1" w:rsidTr="00F006F1">
        <w:tc>
          <w:tcPr>
            <w:tcW w:w="5400" w:type="dxa"/>
          </w:tcPr>
          <w:p w:rsidR="00583526" w:rsidRPr="00B758BD" w:rsidRDefault="00583526" w:rsidP="00F006F1">
            <w:pPr>
              <w:tabs>
                <w:tab w:val="right" w:pos="4680"/>
              </w:tabs>
              <w:suppressAutoHyphens/>
              <w:jc w:val="both"/>
              <w:rPr>
                <w:rFonts w:eastAsia="Times New Roman" w:cs="Calibri"/>
                <w:spacing w:val="-2"/>
                <w:szCs w:val="20"/>
              </w:rPr>
            </w:pPr>
            <w:r w:rsidRPr="00B758BD">
              <w:rPr>
                <w:rFonts w:eastAsia="Times New Roman" w:cs="Calibri"/>
                <w:spacing w:val="-2"/>
                <w:szCs w:val="20"/>
              </w:rPr>
              <w:t>INDIAN RIVER COUNTY</w:t>
            </w:r>
            <w:r w:rsidRPr="00B758BD">
              <w:rPr>
                <w:rFonts w:eastAsia="Times New Roman" w:cs="Calibri"/>
                <w:spacing w:val="-2"/>
                <w:szCs w:val="20"/>
              </w:rPr>
              <w:tab/>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u w:val="single"/>
              </w:rPr>
              <w:tab/>
            </w: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w:t>
            </w:r>
            <w:r w:rsidR="00091C75">
              <w:rPr>
                <w:rFonts w:eastAsia="Times New Roman" w:cs="Calibri"/>
                <w:spacing w:val="-2"/>
                <w:szCs w:val="20"/>
              </w:rPr>
              <w:t>TBD</w:t>
            </w:r>
            <w:bookmarkStart w:id="0" w:name="_GoBack"/>
            <w:bookmarkEnd w:id="0"/>
            <w:r w:rsidRPr="006853D1">
              <w:rPr>
                <w:rFonts w:eastAsia="Times New Roman" w:cs="Calibri"/>
                <w:spacing w:val="-2"/>
                <w:szCs w:val="20"/>
              </w:rPr>
              <w:t>, Chairman</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John A. Titkanich, Jr., County Administrator</w:t>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 xml:space="preserve">By: </w:t>
            </w:r>
            <w:r w:rsidRPr="006853D1">
              <w:rPr>
                <w:rFonts w:eastAsia="Times New Roman" w:cs="Calibri"/>
                <w:spacing w:val="-2"/>
                <w:szCs w:val="20"/>
                <w:u w:val="single"/>
              </w:rPr>
              <w:tab/>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(CONSULTANT)</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(CORPORATE SEAL)</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ab/>
            </w:r>
          </w:p>
        </w:tc>
      </w:tr>
      <w:tr w:rsidR="00583526" w:rsidRPr="006853D1" w:rsidTr="00B758BD">
        <w:tc>
          <w:tcPr>
            <w:tcW w:w="5400" w:type="dxa"/>
          </w:tcPr>
          <w:p w:rsidR="00583526" w:rsidRDefault="00583526" w:rsidP="00F006F1">
            <w:pPr>
              <w:tabs>
                <w:tab w:val="center" w:pos="2340"/>
              </w:tabs>
              <w:suppressAutoHyphens/>
              <w:jc w:val="both"/>
              <w:rPr>
                <w:rFonts w:eastAsia="Times New Roman" w:cs="Calibri"/>
                <w:spacing w:val="-2"/>
                <w:szCs w:val="20"/>
              </w:rPr>
            </w:pPr>
            <w:r w:rsidRPr="006853D1">
              <w:rPr>
                <w:rFonts w:eastAsia="Times New Roman" w:cs="Calibri"/>
                <w:spacing w:val="-2"/>
                <w:szCs w:val="20"/>
              </w:rPr>
              <w:t>APPROVED AS TO FORM AND LEGAL SUFFICIENCY:</w:t>
            </w:r>
          </w:p>
          <w:p w:rsidR="00B758BD" w:rsidRDefault="00B758BD" w:rsidP="00F006F1">
            <w:pPr>
              <w:tabs>
                <w:tab w:val="center" w:pos="2340"/>
              </w:tabs>
              <w:suppressAutoHyphens/>
              <w:jc w:val="both"/>
              <w:rPr>
                <w:rFonts w:eastAsia="Times New Roman" w:cs="Calibri"/>
                <w:spacing w:val="-2"/>
                <w:szCs w:val="20"/>
              </w:rPr>
            </w:pPr>
          </w:p>
          <w:p w:rsidR="00B758BD" w:rsidRPr="006853D1" w:rsidRDefault="00B758BD" w:rsidP="00B758BD">
            <w:pPr>
              <w:tabs>
                <w:tab w:val="center" w:pos="3870"/>
              </w:tabs>
              <w:suppressAutoHyphens/>
              <w:jc w:val="both"/>
              <w:rPr>
                <w:rFonts w:eastAsia="Times New Roman" w:cs="Calibri"/>
                <w:spacing w:val="-2"/>
                <w:szCs w:val="20"/>
              </w:rPr>
            </w:pPr>
            <w:r w:rsidRPr="006853D1">
              <w:rPr>
                <w:rFonts w:eastAsia="Times New Roman" w:cs="Calibri"/>
                <w:spacing w:val="-2"/>
                <w:szCs w:val="20"/>
              </w:rPr>
              <w:t xml:space="preserve">By: </w:t>
            </w:r>
            <w:r w:rsidRPr="006853D1">
              <w:rPr>
                <w:rFonts w:eastAsia="Times New Roman" w:cs="Calibri"/>
                <w:spacing w:val="-2"/>
                <w:szCs w:val="20"/>
                <w:u w:val="single"/>
              </w:rPr>
              <w:tab/>
            </w:r>
          </w:p>
        </w:tc>
        <w:tc>
          <w:tcPr>
            <w:tcW w:w="5400" w:type="dxa"/>
          </w:tcPr>
          <w:p w:rsidR="00352324" w:rsidRPr="006853D1" w:rsidRDefault="00352324" w:rsidP="00352324">
            <w:pPr>
              <w:tabs>
                <w:tab w:val="right" w:pos="4680"/>
              </w:tabs>
              <w:suppressAutoHyphens/>
              <w:jc w:val="both"/>
              <w:rPr>
                <w:rFonts w:eastAsia="Times New Roman" w:cs="Calibri"/>
                <w:spacing w:val="-2"/>
                <w:szCs w:val="20"/>
              </w:rPr>
            </w:pPr>
            <w:r w:rsidRPr="006853D1">
              <w:rPr>
                <w:rFonts w:eastAsia="Times New Roman" w:cs="Calibri"/>
                <w:spacing w:val="-2"/>
                <w:szCs w:val="20"/>
              </w:rPr>
              <w:t>(If CONSULTANT is a corporation or a partnership, attach evidence of authority to sign.)</w:t>
            </w:r>
          </w:p>
          <w:p w:rsidR="00583526" w:rsidRPr="006853D1" w:rsidRDefault="00583526" w:rsidP="00F006F1">
            <w:pPr>
              <w:tabs>
                <w:tab w:val="center" w:pos="-360"/>
              </w:tabs>
              <w:suppressAutoHyphens/>
              <w:jc w:val="both"/>
              <w:rPr>
                <w:rFonts w:eastAsia="Times New Roman" w:cs="Calibri"/>
                <w:spacing w:val="-2"/>
                <w:szCs w:val="20"/>
              </w:rPr>
            </w:pPr>
          </w:p>
        </w:tc>
      </w:tr>
      <w:tr w:rsidR="00583526" w:rsidRPr="006853D1" w:rsidTr="00B758BD">
        <w:tc>
          <w:tcPr>
            <w:tcW w:w="5400" w:type="dxa"/>
          </w:tcPr>
          <w:p w:rsidR="00B758BD" w:rsidRPr="006853D1" w:rsidRDefault="00B758BD" w:rsidP="00B758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William K. DeBraal, County Attorney</w:t>
            </w:r>
          </w:p>
          <w:p w:rsidR="00583526" w:rsidRPr="006853D1" w:rsidRDefault="00583526" w:rsidP="00F006F1">
            <w:pPr>
              <w:tabs>
                <w:tab w:val="right" w:pos="4680"/>
              </w:tabs>
              <w:suppressAutoHyphens/>
              <w:jc w:val="both"/>
              <w:rPr>
                <w:rFonts w:eastAsia="Times New Roman" w:cs="Calibri"/>
                <w:spacing w:val="-2"/>
                <w:szCs w:val="20"/>
              </w:rPr>
            </w:pP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u w:val="single"/>
              </w:rPr>
            </w:pPr>
          </w:p>
          <w:p w:rsidR="00583526" w:rsidRPr="006853D1" w:rsidRDefault="00352324"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Designated Representative:</w:t>
            </w:r>
          </w:p>
        </w:tc>
      </w:tr>
      <w:tr w:rsidR="00583526" w:rsidRPr="006853D1" w:rsidTr="00B758BD">
        <w:tc>
          <w:tcPr>
            <w:tcW w:w="5400" w:type="dxa"/>
          </w:tcPr>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Ryan L. Butler</w:t>
            </w:r>
            <w:r w:rsidR="00583526" w:rsidRPr="006853D1">
              <w:rPr>
                <w:rFonts w:eastAsia="Times New Roman" w:cs="Calibri"/>
                <w:spacing w:val="-2"/>
                <w:szCs w:val="20"/>
              </w:rPr>
              <w:t>, Clerk of Court and Comptroller</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Deputy Clerk</w:t>
            </w:r>
          </w:p>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(SEAL)</w:t>
            </w:r>
          </w:p>
        </w:tc>
        <w:tc>
          <w:tcPr>
            <w:tcW w:w="5400" w:type="dxa"/>
          </w:tcPr>
          <w:p w:rsidR="00583526" w:rsidRPr="006853D1" w:rsidRDefault="00583526" w:rsidP="00F006F1">
            <w:pPr>
              <w:tabs>
                <w:tab w:val="right" w:pos="4680"/>
              </w:tabs>
              <w:suppressAutoHyphens/>
              <w:jc w:val="both"/>
              <w:rPr>
                <w:rFonts w:eastAsia="Times New Roman" w:cs="Calibri"/>
                <w:spacing w:val="-2"/>
                <w:szCs w:val="20"/>
              </w:rPr>
            </w:pP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Designated Representative:</w:t>
            </w:r>
          </w:p>
          <w:p w:rsidR="00583526" w:rsidRPr="006853D1" w:rsidRDefault="002A504E" w:rsidP="00F006F1">
            <w:pPr>
              <w:tabs>
                <w:tab w:val="right" w:pos="4680"/>
              </w:tabs>
              <w:suppressAutoHyphens/>
              <w:jc w:val="both"/>
              <w:rPr>
                <w:rFonts w:eastAsia="Times New Roman" w:cs="Calibri"/>
                <w:spacing w:val="-2"/>
                <w:szCs w:val="20"/>
              </w:rPr>
            </w:pPr>
            <w:r>
              <w:rPr>
                <w:rFonts w:eastAsia="Times New Roman" w:cs="Calibri"/>
                <w:spacing w:val="-2"/>
                <w:szCs w:val="20"/>
              </w:rPr>
              <w:t>Chris Balter</w:t>
            </w:r>
          </w:p>
          <w:p w:rsidR="00583526" w:rsidRPr="006853D1" w:rsidRDefault="002A504E" w:rsidP="00F006F1">
            <w:pPr>
              <w:tabs>
                <w:tab w:val="right" w:pos="4680"/>
              </w:tabs>
              <w:suppressAutoHyphens/>
              <w:jc w:val="both"/>
              <w:rPr>
                <w:rFonts w:eastAsia="Times New Roman" w:cs="Calibri"/>
                <w:spacing w:val="-2"/>
                <w:szCs w:val="20"/>
              </w:rPr>
            </w:pPr>
            <w:r>
              <w:rPr>
                <w:rFonts w:eastAsia="Times New Roman" w:cs="Calibri"/>
                <w:spacing w:val="-2"/>
                <w:szCs w:val="20"/>
              </w:rPr>
              <w:t>Long Range Planning Chief</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1801 27</w:t>
            </w:r>
            <w:r w:rsidRPr="006853D1">
              <w:rPr>
                <w:rFonts w:eastAsia="Times New Roman" w:cs="Calibri"/>
                <w:spacing w:val="-2"/>
                <w:szCs w:val="20"/>
                <w:vertAlign w:val="superscript"/>
              </w:rPr>
              <w:t>th</w:t>
            </w:r>
            <w:r w:rsidRPr="006853D1">
              <w:rPr>
                <w:rFonts w:eastAsia="Times New Roman" w:cs="Calibri"/>
                <w:spacing w:val="-2"/>
                <w:szCs w:val="20"/>
              </w:rPr>
              <w:t xml:space="preserve"> Street, Vero Beach, FL 32960</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772-226-1</w:t>
            </w:r>
            <w:r w:rsidR="002A504E">
              <w:rPr>
                <w:rFonts w:eastAsia="Times New Roman" w:cs="Calibri"/>
                <w:spacing w:val="-2"/>
                <w:szCs w:val="20"/>
              </w:rPr>
              <w:t>250</w:t>
            </w:r>
          </w:p>
          <w:p w:rsidR="00583526" w:rsidRDefault="00091C75" w:rsidP="00F006F1">
            <w:pPr>
              <w:tabs>
                <w:tab w:val="right" w:pos="4680"/>
              </w:tabs>
              <w:suppressAutoHyphens/>
              <w:jc w:val="both"/>
              <w:rPr>
                <w:rFonts w:eastAsia="Times New Roman" w:cs="Calibri"/>
                <w:spacing w:val="-2"/>
                <w:szCs w:val="20"/>
              </w:rPr>
            </w:pPr>
            <w:hyperlink r:id="rId6" w:history="1">
              <w:r w:rsidR="002A504E" w:rsidRPr="00780395">
                <w:rPr>
                  <w:rStyle w:val="Hyperlink"/>
                  <w:rFonts w:eastAsia="Times New Roman" w:cs="Calibri"/>
                  <w:spacing w:val="-2"/>
                  <w:szCs w:val="20"/>
                </w:rPr>
                <w:t>cbalter@indianriver.gov</w:t>
              </w:r>
            </w:hyperlink>
            <w:r w:rsidR="002A504E">
              <w:rPr>
                <w:rFonts w:eastAsia="Times New Roman" w:cs="Calibri"/>
                <w:spacing w:val="-2"/>
                <w:szCs w:val="20"/>
              </w:rPr>
              <w:t xml:space="preserve"> </w:t>
            </w: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Pr="006853D1" w:rsidRDefault="00A14A98" w:rsidP="00F006F1">
            <w:pPr>
              <w:tabs>
                <w:tab w:val="right" w:pos="4680"/>
              </w:tabs>
              <w:suppressAutoHyphens/>
              <w:jc w:val="both"/>
              <w:rPr>
                <w:rFonts w:eastAsia="Times New Roman" w:cs="Calibri"/>
                <w:spacing w:val="-2"/>
                <w:szCs w:val="20"/>
              </w:rPr>
            </w:pP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p>
        </w:tc>
      </w:tr>
    </w:tbl>
    <w:p w:rsidR="00583526" w:rsidRPr="006853D1" w:rsidRDefault="00583526" w:rsidP="00583526">
      <w:pPr>
        <w:pStyle w:val="Title"/>
        <w:rPr>
          <w:rFonts w:cs="Calibri"/>
          <w:lang w:val="en-US"/>
        </w:rPr>
      </w:pPr>
      <w:r w:rsidRPr="006853D1">
        <w:rPr>
          <w:rFonts w:cs="Calibri"/>
          <w:lang w:val="en-US"/>
        </w:rPr>
        <w:lastRenderedPageBreak/>
        <w:t>Exhibit 1 – Scope of Services and Not to Exceed Fee</w:t>
      </w:r>
    </w:p>
    <w:p w:rsidR="004A5CD1" w:rsidRPr="006853D1" w:rsidRDefault="004A5CD1">
      <w:pPr>
        <w:rPr>
          <w:rFonts w:cs="Calibri"/>
        </w:rPr>
      </w:pPr>
    </w:p>
    <w:sectPr w:rsidR="004A5CD1" w:rsidRPr="006853D1" w:rsidSect="00265869">
      <w:footerReference w:type="default" r:id="rId7"/>
      <w:pgSz w:w="12240" w:h="15840"/>
      <w:pgMar w:top="1440" w:right="1080" w:bottom="1440" w:left="108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11D" w:rsidRDefault="007D211D" w:rsidP="007D211D">
      <w:pPr>
        <w:spacing w:line="240" w:lineRule="auto"/>
      </w:pPr>
      <w:r>
        <w:separator/>
      </w:r>
    </w:p>
  </w:endnote>
  <w:endnote w:type="continuationSeparator" w:id="0">
    <w:p w:rsidR="007D211D" w:rsidRDefault="007D211D" w:rsidP="007D2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rPr>
      <w:id w:val="-2050445407"/>
      <w:docPartObj>
        <w:docPartGallery w:val="Page Numbers (Bottom of Page)"/>
        <w:docPartUnique/>
      </w:docPartObj>
    </w:sdtPr>
    <w:sdtEndPr>
      <w:rPr>
        <w:noProof/>
      </w:rPr>
    </w:sdtEndPr>
    <w:sdtContent>
      <w:p w:rsidR="007D211D" w:rsidRPr="007D211D" w:rsidRDefault="007D211D">
        <w:pPr>
          <w:pStyle w:val="Footer"/>
          <w:jc w:val="center"/>
          <w:rPr>
            <w:rFonts w:ascii="Georgia" w:hAnsi="Georgia"/>
          </w:rPr>
        </w:pPr>
        <w:r w:rsidRPr="007D211D">
          <w:rPr>
            <w:rFonts w:ascii="Georgia" w:hAnsi="Georgia"/>
          </w:rPr>
          <w:fldChar w:fldCharType="begin"/>
        </w:r>
        <w:r w:rsidRPr="007D211D">
          <w:rPr>
            <w:rFonts w:ascii="Georgia" w:hAnsi="Georgia"/>
          </w:rPr>
          <w:instrText xml:space="preserve"> PAGE   \* MERGEFORMAT </w:instrText>
        </w:r>
        <w:r w:rsidRPr="007D211D">
          <w:rPr>
            <w:rFonts w:ascii="Georgia" w:hAnsi="Georgia"/>
          </w:rPr>
          <w:fldChar w:fldCharType="separate"/>
        </w:r>
        <w:r w:rsidRPr="007D211D">
          <w:rPr>
            <w:rFonts w:ascii="Georgia" w:hAnsi="Georgia"/>
            <w:noProof/>
          </w:rPr>
          <w:t>2</w:t>
        </w:r>
        <w:r w:rsidRPr="007D211D">
          <w:rPr>
            <w:rFonts w:ascii="Georgia" w:hAnsi="Georgia"/>
            <w:noProof/>
          </w:rPr>
          <w:fldChar w:fldCharType="end"/>
        </w:r>
      </w:p>
    </w:sdtContent>
  </w:sdt>
  <w:p w:rsidR="007D211D" w:rsidRDefault="007D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11D" w:rsidRDefault="007D211D" w:rsidP="007D211D">
      <w:pPr>
        <w:spacing w:line="240" w:lineRule="auto"/>
      </w:pPr>
      <w:r>
        <w:separator/>
      </w:r>
    </w:p>
  </w:footnote>
  <w:footnote w:type="continuationSeparator" w:id="0">
    <w:p w:rsidR="007D211D" w:rsidRDefault="007D211D" w:rsidP="007D2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26"/>
    <w:rsid w:val="00091C75"/>
    <w:rsid w:val="002A504E"/>
    <w:rsid w:val="003103F7"/>
    <w:rsid w:val="00352324"/>
    <w:rsid w:val="0037699C"/>
    <w:rsid w:val="004A5CD1"/>
    <w:rsid w:val="00583526"/>
    <w:rsid w:val="006853D1"/>
    <w:rsid w:val="007D211D"/>
    <w:rsid w:val="00855A10"/>
    <w:rsid w:val="00A14A98"/>
    <w:rsid w:val="00B758BD"/>
    <w:rsid w:val="00CF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6E54"/>
  <w15:chartTrackingRefBased/>
  <w15:docId w15:val="{97806677-D1C8-41FC-8EF0-BA2FC63E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526"/>
    <w:pPr>
      <w:spacing w:after="0" w:line="240" w:lineRule="atLeast"/>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835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526"/>
    <w:pPr>
      <w:tabs>
        <w:tab w:val="center" w:pos="4680"/>
        <w:tab w:val="right" w:pos="9360"/>
      </w:tabs>
    </w:pPr>
  </w:style>
  <w:style w:type="character" w:customStyle="1" w:styleId="HeaderChar">
    <w:name w:val="Header Char"/>
    <w:basedOn w:val="DefaultParagraphFont"/>
    <w:link w:val="Header"/>
    <w:rsid w:val="00583526"/>
    <w:rPr>
      <w:rFonts w:ascii="Calibri" w:eastAsia="Calibri" w:hAnsi="Calibri" w:cs="Times New Roman"/>
    </w:rPr>
  </w:style>
  <w:style w:type="paragraph" w:styleId="Title">
    <w:name w:val="Title"/>
    <w:basedOn w:val="Normal"/>
    <w:next w:val="Heading2"/>
    <w:link w:val="TitleChar"/>
    <w:qFormat/>
    <w:rsid w:val="00583526"/>
    <w:pPr>
      <w:pBdr>
        <w:top w:val="single" w:sz="12" w:space="1" w:color="auto"/>
        <w:bottom w:val="single" w:sz="12" w:space="1" w:color="auto"/>
      </w:pBdr>
      <w:jc w:val="center"/>
    </w:pPr>
    <w:rPr>
      <w:rFonts w:eastAsia="Times New Roman"/>
      <w:b/>
      <w:bCs/>
      <w:sz w:val="32"/>
      <w:szCs w:val="20"/>
      <w:lang w:val="x-none" w:eastAsia="x-none"/>
    </w:rPr>
  </w:style>
  <w:style w:type="character" w:customStyle="1" w:styleId="TitleChar">
    <w:name w:val="Title Char"/>
    <w:basedOn w:val="DefaultParagraphFont"/>
    <w:link w:val="Title"/>
    <w:rsid w:val="00583526"/>
    <w:rPr>
      <w:rFonts w:ascii="Calibri" w:eastAsia="Times New Roman" w:hAnsi="Calibri" w:cs="Times New Roman"/>
      <w:b/>
      <w:bCs/>
      <w:sz w:val="32"/>
      <w:szCs w:val="20"/>
      <w:lang w:val="x-none" w:eastAsia="x-none"/>
    </w:rPr>
  </w:style>
  <w:style w:type="character" w:styleId="PlaceholderText">
    <w:name w:val="Placeholder Text"/>
    <w:uiPriority w:val="99"/>
    <w:semiHidden/>
    <w:rsid w:val="00583526"/>
    <w:rPr>
      <w:color w:val="808080"/>
    </w:rPr>
  </w:style>
  <w:style w:type="character" w:customStyle="1" w:styleId="Heading2Char">
    <w:name w:val="Heading 2 Char"/>
    <w:basedOn w:val="DefaultParagraphFont"/>
    <w:link w:val="Heading2"/>
    <w:uiPriority w:val="9"/>
    <w:semiHidden/>
    <w:rsid w:val="0058352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D211D"/>
    <w:pPr>
      <w:tabs>
        <w:tab w:val="center" w:pos="4680"/>
        <w:tab w:val="right" w:pos="9360"/>
      </w:tabs>
      <w:spacing w:line="240" w:lineRule="auto"/>
    </w:pPr>
  </w:style>
  <w:style w:type="character" w:customStyle="1" w:styleId="FooterChar">
    <w:name w:val="Footer Char"/>
    <w:basedOn w:val="DefaultParagraphFont"/>
    <w:link w:val="Footer"/>
    <w:uiPriority w:val="99"/>
    <w:rsid w:val="007D211D"/>
    <w:rPr>
      <w:rFonts w:ascii="Calibri" w:eastAsia="Calibri" w:hAnsi="Calibri" w:cs="Times New Roman"/>
    </w:rPr>
  </w:style>
  <w:style w:type="character" w:styleId="Hyperlink">
    <w:name w:val="Hyperlink"/>
    <w:basedOn w:val="DefaultParagraphFont"/>
    <w:uiPriority w:val="99"/>
    <w:unhideWhenUsed/>
    <w:rsid w:val="00A14A98"/>
    <w:rPr>
      <w:color w:val="0563C1" w:themeColor="hyperlink"/>
      <w:u w:val="single"/>
    </w:rPr>
  </w:style>
  <w:style w:type="character" w:styleId="UnresolvedMention">
    <w:name w:val="Unresolved Mention"/>
    <w:basedOn w:val="DefaultParagraphFont"/>
    <w:uiPriority w:val="99"/>
    <w:semiHidden/>
    <w:unhideWhenUsed/>
    <w:rsid w:val="00A14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alter@indianriver.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IRCGOV</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Shelby Ball</cp:lastModifiedBy>
  <cp:revision>11</cp:revision>
  <dcterms:created xsi:type="dcterms:W3CDTF">2023-08-02T19:02:00Z</dcterms:created>
  <dcterms:modified xsi:type="dcterms:W3CDTF">2023-11-09T15:05:00Z</dcterms:modified>
</cp:coreProperties>
</file>