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67A60" w:rsidRDefault="00BB39C5">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0</wp:posOffset>
                </wp:positionV>
                <wp:extent cx="4343400" cy="9144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solidFill>
                          <a:srgbClr val="FFFFFF"/>
                        </a:solidFill>
                        <a:ln w="9525">
                          <a:solidFill>
                            <a:srgbClr val="000000"/>
                          </a:solidFill>
                          <a:miter lim="800000"/>
                          <a:headEnd/>
                          <a:tailEnd/>
                        </a:ln>
                      </wps:spPr>
                      <wps:txbx>
                        <w:txbxContent>
                          <w:p w:rsidR="00D67A60" w:rsidRDefault="00956C1F">
                            <w:pPr>
                              <w:pStyle w:val="Heading1"/>
                            </w:pPr>
                            <w:r>
                              <w:t xml:space="preserve">Invitation to </w:t>
                            </w:r>
                            <w:proofErr w:type="gramStart"/>
                            <w:r>
                              <w:t xml:space="preserve">Bid </w:t>
                            </w:r>
                            <w:r w:rsidR="00D67A60">
                              <w:t xml:space="preserve"> –</w:t>
                            </w:r>
                            <w:proofErr w:type="gramEnd"/>
                            <w:r w:rsidR="008F538B">
                              <w:t xml:space="preserve"> Environmental Laboratory Services</w:t>
                            </w:r>
                          </w:p>
                          <w:p w:rsidR="00D67A60" w:rsidRDefault="00C360E9">
                            <w:pPr>
                              <w:pStyle w:val="Heading1"/>
                            </w:pPr>
                            <w:r>
                              <w:t>March 14, 2017</w:t>
                            </w:r>
                          </w:p>
                          <w:p w:rsidR="00D67A60" w:rsidRDefault="00D67A60">
                            <w:pPr>
                              <w:pStyle w:val="Heading1"/>
                            </w:pPr>
                            <w:r>
                              <w:t xml:space="preserve">Solicitation # </w:t>
                            </w:r>
                            <w:r w:rsidR="008F538B">
                              <w:t>412-</w:t>
                            </w:r>
                            <w:r w:rsidR="005B2D03">
                              <w:t>0</w:t>
                            </w:r>
                            <w:r w:rsidR="00C360E9">
                              <w:t>317</w:t>
                            </w:r>
                            <w:r w:rsidR="008F538B">
                              <w:t>-</w:t>
                            </w:r>
                            <w:r w:rsidR="00C360E9">
                              <w:t>35</w:t>
                            </w:r>
                          </w:p>
                          <w:p w:rsidR="00D67A60" w:rsidRDefault="00D67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0;width:34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">
                <v:textbox>
                  <w:txbxContent>
                    <w:p w:rsidR="00D67A60" w:rsidRDefault="00956C1F">
                      <w:pPr>
                        <w:pStyle w:val="Heading1"/>
                      </w:pPr>
                      <w:r>
                        <w:t xml:space="preserve">Invitation to </w:t>
                      </w:r>
                      <w:proofErr w:type="gramStart"/>
                      <w:r>
                        <w:t xml:space="preserve">Bid </w:t>
                      </w:r>
                      <w:r w:rsidR="00D67A60">
                        <w:t xml:space="preserve"> –</w:t>
                      </w:r>
                      <w:proofErr w:type="gramEnd"/>
                      <w:r w:rsidR="008F538B">
                        <w:t xml:space="preserve"> Environmental Laboratory Services</w:t>
                      </w:r>
                    </w:p>
                    <w:p w:rsidR="00D67A60" w:rsidRDefault="00C360E9">
                      <w:pPr>
                        <w:pStyle w:val="Heading1"/>
                      </w:pPr>
                      <w:r>
                        <w:t>March 14, 2017</w:t>
                      </w:r>
                    </w:p>
                    <w:p w:rsidR="00D67A60" w:rsidRDefault="00D67A60">
                      <w:pPr>
                        <w:pStyle w:val="Heading1"/>
                      </w:pPr>
                      <w:r>
                        <w:t xml:space="preserve">Solicitation # </w:t>
                      </w:r>
                      <w:r w:rsidR="008F538B">
                        <w:t>412-</w:t>
                      </w:r>
                      <w:r w:rsidR="005B2D03">
                        <w:t>0</w:t>
                      </w:r>
                      <w:r w:rsidR="00C360E9">
                        <w:t>317</w:t>
                      </w:r>
                      <w:r w:rsidR="008F538B">
                        <w:t>-</w:t>
                      </w:r>
                      <w:r w:rsidR="00C360E9">
                        <w:t>35</w:t>
                      </w:r>
                    </w:p>
                    <w:p w:rsidR="00D67A60" w:rsidRDefault="00D67A60"/>
                  </w:txbxContent>
                </v:textbox>
              </v:shape>
            </w:pict>
          </mc:Fallback>
        </mc:AlternateContent>
      </w:r>
      <w:r w:rsidR="00C360E9">
        <w:rPr>
          <w:rFonts w:ascii="Arial" w:hAnsi="Arial" w:cs="Arial"/>
          <w:noProof/>
          <w:u w:val="single"/>
        </w:rPr>
        <w:drawing>
          <wp:inline distT="0" distB="0" distL="0" distR="0">
            <wp:extent cx="834165" cy="108758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6">
                      <a:extLst>
                        <a:ext uri="{28A0092B-C50C-407E-A947-70E740481C1C}">
                          <a14:useLocalDpi xmlns:a14="http://schemas.microsoft.com/office/drawing/2010/main" val="0"/>
                        </a:ext>
                      </a:extLst>
                    </a:blip>
                    <a:stretch>
                      <a:fillRect/>
                    </a:stretch>
                  </pic:blipFill>
                  <pic:spPr>
                    <a:xfrm>
                      <a:off x="0" y="0"/>
                      <a:ext cx="867115" cy="1130542"/>
                    </a:xfrm>
                    <a:prstGeom prst="rect">
                      <a:avLst/>
                    </a:prstGeom>
                  </pic:spPr>
                </pic:pic>
              </a:graphicData>
            </a:graphic>
          </wp:inline>
        </w:drawing>
      </w:r>
    </w:p>
    <w:p w:rsidR="00D67A60" w:rsidRPr="00C360E9" w:rsidRDefault="00956C1F">
      <w:pPr>
        <w:pStyle w:val="NormalWeb"/>
        <w:rPr>
          <w:sz w:val="22"/>
          <w:szCs w:val="22"/>
        </w:rPr>
      </w:pPr>
      <w:r>
        <w:rPr>
          <w:sz w:val="22"/>
          <w:szCs w:val="22"/>
        </w:rPr>
        <w:t>Sealed bids</w:t>
      </w:r>
      <w:r w:rsidR="00D67A60" w:rsidRPr="00C360E9">
        <w:rPr>
          <w:sz w:val="22"/>
          <w:szCs w:val="22"/>
        </w:rPr>
        <w:t xml:space="preserve">, subject to the specifications and conditions contained herein and attached hereto, will be received in the City Manager’s Office, City Hall, until </w:t>
      </w:r>
      <w:r w:rsidR="00435E5B" w:rsidRPr="00C360E9">
        <w:rPr>
          <w:sz w:val="22"/>
          <w:szCs w:val="22"/>
        </w:rPr>
        <w:t xml:space="preserve">2:00 PM CST </w:t>
      </w:r>
      <w:r w:rsidR="005B2D03" w:rsidRPr="00C360E9">
        <w:rPr>
          <w:sz w:val="22"/>
          <w:szCs w:val="22"/>
        </w:rPr>
        <w:t>A</w:t>
      </w:r>
      <w:r w:rsidR="00C360E9" w:rsidRPr="00C360E9">
        <w:rPr>
          <w:sz w:val="22"/>
          <w:szCs w:val="22"/>
        </w:rPr>
        <w:t>pril</w:t>
      </w:r>
      <w:r w:rsidR="005B2D03" w:rsidRPr="00C360E9">
        <w:rPr>
          <w:sz w:val="22"/>
          <w:szCs w:val="22"/>
        </w:rPr>
        <w:t xml:space="preserve"> </w:t>
      </w:r>
      <w:r w:rsidR="007E1F3D">
        <w:rPr>
          <w:sz w:val="22"/>
          <w:szCs w:val="22"/>
        </w:rPr>
        <w:t>12</w:t>
      </w:r>
      <w:r w:rsidR="00A748D9" w:rsidRPr="00C360E9">
        <w:rPr>
          <w:sz w:val="22"/>
          <w:szCs w:val="22"/>
        </w:rPr>
        <w:t>, 20</w:t>
      </w:r>
      <w:r w:rsidR="005B2D03" w:rsidRPr="00C360E9">
        <w:rPr>
          <w:sz w:val="22"/>
          <w:szCs w:val="22"/>
        </w:rPr>
        <w:t>1</w:t>
      </w:r>
      <w:r w:rsidR="00C360E9" w:rsidRPr="00C360E9">
        <w:rPr>
          <w:sz w:val="22"/>
          <w:szCs w:val="22"/>
        </w:rPr>
        <w:t>7</w:t>
      </w:r>
      <w:r w:rsidR="00435E5B" w:rsidRPr="00C360E9">
        <w:rPr>
          <w:sz w:val="22"/>
          <w:szCs w:val="22"/>
        </w:rPr>
        <w:t xml:space="preserve"> </w:t>
      </w:r>
      <w:r w:rsidR="00D67A60" w:rsidRPr="00C360E9">
        <w:rPr>
          <w:sz w:val="22"/>
          <w:szCs w:val="22"/>
        </w:rPr>
        <w:t>and then publicly open</w:t>
      </w:r>
      <w:r w:rsidR="00435E5B" w:rsidRPr="00C360E9">
        <w:rPr>
          <w:sz w:val="22"/>
          <w:szCs w:val="22"/>
        </w:rPr>
        <w:t>ed and read aloud for Environmental Laboratory Services.</w:t>
      </w:r>
    </w:p>
    <w:p w:rsidR="00D67A60" w:rsidRPr="00C360E9" w:rsidRDefault="00D67A60">
      <w:pPr>
        <w:pStyle w:val="NormalWeb"/>
        <w:rPr>
          <w:sz w:val="22"/>
          <w:szCs w:val="22"/>
        </w:rPr>
      </w:pPr>
      <w:r w:rsidRPr="00C360E9">
        <w:rPr>
          <w:sz w:val="22"/>
          <w:szCs w:val="22"/>
        </w:rPr>
        <w:t xml:space="preserve">If you are an individual with a disability and require a reasonable accommodation or have additional questions regarding this invitation, please notify the Assistant Finance Director, Danny King at (931) </w:t>
      </w:r>
      <w:r w:rsidR="00A748D9" w:rsidRPr="00C360E9">
        <w:rPr>
          <w:sz w:val="22"/>
          <w:szCs w:val="22"/>
        </w:rPr>
        <w:t>560-15</w:t>
      </w:r>
      <w:r w:rsidR="00232FB5" w:rsidRPr="00C360E9">
        <w:rPr>
          <w:sz w:val="22"/>
          <w:szCs w:val="22"/>
        </w:rPr>
        <w:t>76</w:t>
      </w:r>
      <w:r w:rsidR="00A748D9" w:rsidRPr="00C360E9">
        <w:rPr>
          <w:sz w:val="22"/>
          <w:szCs w:val="22"/>
        </w:rPr>
        <w:t>.</w:t>
      </w:r>
    </w:p>
    <w:p w:rsidR="00D67A60" w:rsidRPr="00C360E9" w:rsidRDefault="00D67A60">
      <w:pPr>
        <w:pStyle w:val="NormalWeb"/>
        <w:rPr>
          <w:sz w:val="22"/>
          <w:szCs w:val="22"/>
        </w:rPr>
      </w:pPr>
      <w:r w:rsidRPr="00C360E9">
        <w:rPr>
          <w:sz w:val="22"/>
          <w:szCs w:val="22"/>
        </w:rPr>
        <w:t xml:space="preserve">No bid may be withdrawn after the scheduled closing time for receipt of bids for ninety (90) calendar days. </w:t>
      </w:r>
    </w:p>
    <w:p w:rsidR="00D67A60" w:rsidRPr="00C360E9" w:rsidRDefault="00956C1F" w:rsidP="00C360E9">
      <w:pPr>
        <w:pStyle w:val="NormalWeb"/>
        <w:tabs>
          <w:tab w:val="left" w:pos="2476"/>
        </w:tabs>
        <w:rPr>
          <w:b/>
          <w:bCs/>
          <w:sz w:val="22"/>
          <w:szCs w:val="22"/>
          <w:u w:val="single"/>
        </w:rPr>
      </w:pPr>
      <w:r>
        <w:rPr>
          <w:b/>
          <w:bCs/>
          <w:sz w:val="22"/>
          <w:szCs w:val="22"/>
          <w:u w:val="single"/>
        </w:rPr>
        <w:t>Bid</w:t>
      </w:r>
      <w:r w:rsidRPr="00C360E9">
        <w:rPr>
          <w:b/>
          <w:bCs/>
          <w:sz w:val="22"/>
          <w:szCs w:val="22"/>
          <w:u w:val="single"/>
        </w:rPr>
        <w:t xml:space="preserve"> Instructions</w:t>
      </w:r>
    </w:p>
    <w:p w:rsidR="00D67A60" w:rsidRPr="00C360E9" w:rsidRDefault="00D67A60">
      <w:pPr>
        <w:pStyle w:val="NormalWeb"/>
        <w:rPr>
          <w:sz w:val="22"/>
          <w:szCs w:val="22"/>
        </w:rPr>
      </w:pPr>
      <w:r w:rsidRPr="00C360E9">
        <w:rPr>
          <w:sz w:val="22"/>
          <w:szCs w:val="22"/>
        </w:rPr>
        <w:t>To be considered, you must submit:</w:t>
      </w:r>
    </w:p>
    <w:p w:rsidR="00D67A60" w:rsidRPr="00C360E9" w:rsidRDefault="008F538B">
      <w:pPr>
        <w:pStyle w:val="NormalWeb"/>
        <w:numPr>
          <w:ilvl w:val="0"/>
          <w:numId w:val="13"/>
        </w:numPr>
        <w:rPr>
          <w:sz w:val="22"/>
          <w:szCs w:val="22"/>
        </w:rPr>
      </w:pPr>
      <w:r w:rsidRPr="00C360E9">
        <w:rPr>
          <w:sz w:val="22"/>
          <w:szCs w:val="22"/>
        </w:rPr>
        <w:t xml:space="preserve">An original </w:t>
      </w:r>
      <w:r w:rsidR="00956C1F">
        <w:rPr>
          <w:sz w:val="22"/>
          <w:szCs w:val="22"/>
        </w:rPr>
        <w:t>bid sheet</w:t>
      </w:r>
      <w:r w:rsidR="00502B50" w:rsidRPr="00C360E9">
        <w:rPr>
          <w:sz w:val="22"/>
          <w:szCs w:val="22"/>
        </w:rPr>
        <w:t>.</w:t>
      </w:r>
      <w:r w:rsidRPr="00C360E9">
        <w:rPr>
          <w:sz w:val="22"/>
          <w:szCs w:val="22"/>
        </w:rPr>
        <w:t xml:space="preserve"> </w:t>
      </w:r>
    </w:p>
    <w:p w:rsidR="00D67A60" w:rsidRDefault="00502B50">
      <w:pPr>
        <w:pStyle w:val="NormalWeb"/>
        <w:numPr>
          <w:ilvl w:val="0"/>
          <w:numId w:val="13"/>
        </w:numPr>
        <w:rPr>
          <w:sz w:val="22"/>
          <w:szCs w:val="22"/>
        </w:rPr>
      </w:pPr>
      <w:r w:rsidRPr="00C360E9">
        <w:rPr>
          <w:sz w:val="22"/>
          <w:szCs w:val="22"/>
        </w:rPr>
        <w:t>All submissions and attachments as required herein</w:t>
      </w:r>
      <w:r w:rsidR="00956C1F">
        <w:rPr>
          <w:sz w:val="22"/>
          <w:szCs w:val="22"/>
        </w:rPr>
        <w:t>.</w:t>
      </w:r>
    </w:p>
    <w:p w:rsidR="00646758" w:rsidRDefault="007E1F3D">
      <w:pPr>
        <w:pStyle w:val="NormalWeb"/>
        <w:numPr>
          <w:ilvl w:val="0"/>
          <w:numId w:val="13"/>
        </w:numPr>
        <w:rPr>
          <w:sz w:val="22"/>
          <w:szCs w:val="22"/>
        </w:rPr>
      </w:pPr>
      <w:r>
        <w:rPr>
          <w:sz w:val="22"/>
          <w:szCs w:val="22"/>
        </w:rPr>
        <w:t xml:space="preserve">Signed </w:t>
      </w:r>
      <w:r w:rsidR="00646758">
        <w:rPr>
          <w:sz w:val="22"/>
          <w:szCs w:val="22"/>
        </w:rPr>
        <w:t xml:space="preserve">Iran Divestment Act Disclosure Form </w:t>
      </w:r>
    </w:p>
    <w:p w:rsidR="00956C1F" w:rsidRPr="00C360E9" w:rsidRDefault="00956C1F">
      <w:pPr>
        <w:pStyle w:val="NormalWeb"/>
        <w:numPr>
          <w:ilvl w:val="0"/>
          <w:numId w:val="13"/>
        </w:numPr>
        <w:rPr>
          <w:sz w:val="22"/>
          <w:szCs w:val="22"/>
        </w:rPr>
      </w:pPr>
      <w:r>
        <w:rPr>
          <w:sz w:val="22"/>
          <w:szCs w:val="22"/>
        </w:rPr>
        <w:t xml:space="preserve">Bidders are requested to register as a vendor for the City of Columbia using the City’s website; however, a paper vendor application is available. For online registration go to www.columbiatn.com /government/finance/purchasing/ and follow the link for registration. </w:t>
      </w:r>
    </w:p>
    <w:p w:rsidR="00D67A60" w:rsidRPr="00C360E9" w:rsidRDefault="00D67A60">
      <w:pPr>
        <w:pStyle w:val="NormalWeb"/>
        <w:ind w:left="720"/>
        <w:rPr>
          <w:sz w:val="22"/>
          <w:szCs w:val="22"/>
        </w:rPr>
      </w:pPr>
      <w:r w:rsidRPr="00C360E9">
        <w:rPr>
          <w:sz w:val="22"/>
          <w:szCs w:val="22"/>
        </w:rPr>
        <w:t xml:space="preserve">The bid form must be signed by an individual with the authority to bind the bidder. </w:t>
      </w:r>
    </w:p>
    <w:p w:rsidR="00D67A60" w:rsidRPr="00C360E9" w:rsidRDefault="00D67A60">
      <w:pPr>
        <w:pStyle w:val="NormalWeb"/>
        <w:ind w:left="720"/>
        <w:rPr>
          <w:sz w:val="22"/>
          <w:szCs w:val="22"/>
        </w:rPr>
      </w:pPr>
      <w:r w:rsidRPr="00C360E9">
        <w:rPr>
          <w:sz w:val="22"/>
          <w:szCs w:val="22"/>
        </w:rPr>
        <w:t>All bid documents shall be returned to:</w:t>
      </w:r>
    </w:p>
    <w:p w:rsidR="00D67A60" w:rsidRPr="00C360E9" w:rsidRDefault="00A748D9">
      <w:pPr>
        <w:pStyle w:val="NormalWeb"/>
        <w:ind w:left="720" w:firstLine="60"/>
        <w:rPr>
          <w:b/>
          <w:bCs/>
          <w:sz w:val="22"/>
          <w:szCs w:val="22"/>
        </w:rPr>
      </w:pPr>
      <w:r w:rsidRPr="00C360E9">
        <w:rPr>
          <w:sz w:val="22"/>
          <w:szCs w:val="22"/>
        </w:rPr>
        <w:t xml:space="preserve">Purchasing </w:t>
      </w:r>
      <w:r w:rsidR="00423B49" w:rsidRPr="00C360E9">
        <w:rPr>
          <w:sz w:val="22"/>
          <w:szCs w:val="22"/>
        </w:rPr>
        <w:t>Agent,</w:t>
      </w:r>
      <w:r w:rsidR="00D67A60" w:rsidRPr="00C360E9">
        <w:rPr>
          <w:sz w:val="22"/>
          <w:szCs w:val="22"/>
        </w:rPr>
        <w:t xml:space="preserve"> City </w:t>
      </w:r>
      <w:r w:rsidR="005B2D03" w:rsidRPr="00C360E9">
        <w:rPr>
          <w:sz w:val="22"/>
          <w:szCs w:val="22"/>
        </w:rPr>
        <w:t xml:space="preserve">Manager’s Office, City Hall, </w:t>
      </w:r>
      <w:proofErr w:type="gramStart"/>
      <w:r w:rsidR="005B2D03" w:rsidRPr="00C360E9">
        <w:rPr>
          <w:sz w:val="22"/>
          <w:szCs w:val="22"/>
        </w:rPr>
        <w:t>700</w:t>
      </w:r>
      <w:proofErr w:type="gramEnd"/>
      <w:r w:rsidR="00D67A60" w:rsidRPr="00C360E9">
        <w:rPr>
          <w:sz w:val="22"/>
          <w:szCs w:val="22"/>
        </w:rPr>
        <w:t xml:space="preserve"> North </w:t>
      </w:r>
      <w:r w:rsidR="005B2D03" w:rsidRPr="00C360E9">
        <w:rPr>
          <w:sz w:val="22"/>
          <w:szCs w:val="22"/>
        </w:rPr>
        <w:t>Garden</w:t>
      </w:r>
      <w:r w:rsidR="00D67A60" w:rsidRPr="00C360E9">
        <w:rPr>
          <w:sz w:val="22"/>
          <w:szCs w:val="22"/>
        </w:rPr>
        <w:t xml:space="preserve"> St., Columbia, TN 38401.</w:t>
      </w:r>
    </w:p>
    <w:p w:rsidR="00D67A60" w:rsidRPr="00C360E9" w:rsidRDefault="00D67A60">
      <w:pPr>
        <w:pStyle w:val="NormalWeb"/>
        <w:ind w:left="720"/>
        <w:rPr>
          <w:b/>
          <w:bCs/>
          <w:sz w:val="22"/>
          <w:szCs w:val="22"/>
        </w:rPr>
      </w:pPr>
      <w:r w:rsidRPr="00C360E9">
        <w:rPr>
          <w:sz w:val="22"/>
          <w:szCs w:val="22"/>
        </w:rPr>
        <w:t xml:space="preserve">Mark outside of envelope with RFP </w:t>
      </w:r>
      <w:r w:rsidR="008F538B" w:rsidRPr="00C360E9">
        <w:rPr>
          <w:sz w:val="22"/>
          <w:szCs w:val="22"/>
        </w:rPr>
        <w:t>ENVIRONMENTAL LABORATORY SERVICE</w:t>
      </w:r>
      <w:r w:rsidRPr="00C360E9">
        <w:rPr>
          <w:sz w:val="22"/>
          <w:szCs w:val="22"/>
        </w:rPr>
        <w:t xml:space="preserve"> and opening date of bid, </w:t>
      </w:r>
      <w:r w:rsidR="00956C1F">
        <w:rPr>
          <w:sz w:val="22"/>
          <w:szCs w:val="22"/>
        </w:rPr>
        <w:t>April 1</w:t>
      </w:r>
      <w:r w:rsidR="007E1F3D">
        <w:rPr>
          <w:sz w:val="22"/>
          <w:szCs w:val="22"/>
        </w:rPr>
        <w:t>2</w:t>
      </w:r>
      <w:r w:rsidR="00C360E9" w:rsidRPr="00C360E9">
        <w:rPr>
          <w:sz w:val="22"/>
          <w:szCs w:val="22"/>
        </w:rPr>
        <w:t>, 2017.</w:t>
      </w:r>
    </w:p>
    <w:p w:rsidR="00D67A60" w:rsidRPr="00C360E9" w:rsidRDefault="00D67A60">
      <w:pPr>
        <w:pStyle w:val="NormalWeb"/>
        <w:rPr>
          <w:sz w:val="22"/>
          <w:szCs w:val="22"/>
        </w:rPr>
      </w:pPr>
      <w:r w:rsidRPr="00C360E9">
        <w:rPr>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232FB5" w:rsidRPr="00C360E9" w:rsidRDefault="00232FB5">
      <w:pPr>
        <w:pStyle w:val="NormalWeb"/>
        <w:rPr>
          <w:sz w:val="22"/>
          <w:szCs w:val="22"/>
        </w:rPr>
      </w:pPr>
      <w:r w:rsidRPr="00C360E9">
        <w:rPr>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w:t>
      </w:r>
      <w:r w:rsidRPr="00C360E9">
        <w:rPr>
          <w:sz w:val="22"/>
          <w:szCs w:val="22"/>
        </w:rPr>
        <w:lastRenderedPageBreak/>
        <w:t>result does not discriminate on the grounds of race, color or national origin nor does it excluded from participation in, or denies the benefit of any program or activity receiving federal financial assistance</w:t>
      </w:r>
    </w:p>
    <w:p w:rsidR="00D67A60" w:rsidRPr="00C360E9" w:rsidRDefault="00D67A60">
      <w:pPr>
        <w:pStyle w:val="NormalWeb"/>
        <w:rPr>
          <w:sz w:val="22"/>
          <w:szCs w:val="22"/>
        </w:rPr>
      </w:pPr>
      <w:r w:rsidRPr="00C360E9">
        <w:rPr>
          <w:sz w:val="22"/>
          <w:szCs w:val="22"/>
        </w:rPr>
        <w:t> All costs of preparing a bid and all costs of delivery of said bid shall be the responsibility of the bidder.</w:t>
      </w:r>
    </w:p>
    <w:p w:rsidR="00A7252E" w:rsidRPr="00C360E9" w:rsidRDefault="00D67A60" w:rsidP="00A7252E">
      <w:pPr>
        <w:pStyle w:val="NormalWeb"/>
        <w:rPr>
          <w:sz w:val="22"/>
          <w:szCs w:val="22"/>
          <w:u w:val="single"/>
        </w:rPr>
      </w:pPr>
      <w:r w:rsidRPr="00C360E9">
        <w:rPr>
          <w:sz w:val="22"/>
          <w:szCs w:val="22"/>
        </w:rPr>
        <w:t xml:space="preserve">1. </w:t>
      </w:r>
      <w:r w:rsidRPr="00C360E9">
        <w:rPr>
          <w:sz w:val="22"/>
          <w:szCs w:val="22"/>
          <w:u w:val="single"/>
        </w:rPr>
        <w:t>SCOPE</w:t>
      </w:r>
    </w:p>
    <w:p w:rsidR="00A7252E" w:rsidRPr="00C360E9" w:rsidRDefault="008F538B" w:rsidP="00C976E9">
      <w:pPr>
        <w:pStyle w:val="NormalWeb"/>
        <w:spacing w:before="0" w:beforeAutospacing="0" w:after="0" w:afterAutospacing="0"/>
        <w:ind w:left="720" w:firstLine="720"/>
        <w:jc w:val="both"/>
        <w:rPr>
          <w:sz w:val="22"/>
          <w:szCs w:val="22"/>
        </w:rPr>
      </w:pPr>
      <w:r w:rsidRPr="00C360E9">
        <w:rPr>
          <w:sz w:val="22"/>
          <w:szCs w:val="22"/>
        </w:rPr>
        <w:t xml:space="preserve">The City of Columbia, Tennessee is requesting </w:t>
      </w:r>
      <w:r w:rsidR="00956C1F">
        <w:rPr>
          <w:sz w:val="22"/>
          <w:szCs w:val="22"/>
        </w:rPr>
        <w:t>bids</w:t>
      </w:r>
      <w:r w:rsidRPr="00C360E9">
        <w:rPr>
          <w:sz w:val="22"/>
          <w:szCs w:val="22"/>
        </w:rPr>
        <w:t xml:space="preserve"> from </w:t>
      </w:r>
      <w:r w:rsidR="005B2D03" w:rsidRPr="00C360E9">
        <w:rPr>
          <w:sz w:val="22"/>
          <w:szCs w:val="22"/>
        </w:rPr>
        <w:t>qualified</w:t>
      </w:r>
      <w:r w:rsidRPr="00C360E9">
        <w:rPr>
          <w:sz w:val="22"/>
          <w:szCs w:val="22"/>
        </w:rPr>
        <w:t xml:space="preserve"> environmental laboratories to provide laboratory services </w:t>
      </w:r>
      <w:r w:rsidR="005B2D03" w:rsidRPr="00C360E9">
        <w:rPr>
          <w:sz w:val="22"/>
          <w:szCs w:val="22"/>
        </w:rPr>
        <w:t xml:space="preserve">to </w:t>
      </w:r>
      <w:r w:rsidRPr="00C360E9">
        <w:rPr>
          <w:sz w:val="22"/>
          <w:szCs w:val="22"/>
        </w:rPr>
        <w:t>the City</w:t>
      </w:r>
      <w:r w:rsidR="005B2D03" w:rsidRPr="00C360E9">
        <w:rPr>
          <w:sz w:val="22"/>
          <w:szCs w:val="22"/>
        </w:rPr>
        <w:t xml:space="preserve"> of Columbia</w:t>
      </w:r>
      <w:r w:rsidRPr="00C360E9">
        <w:rPr>
          <w:sz w:val="22"/>
          <w:szCs w:val="22"/>
        </w:rPr>
        <w:t xml:space="preserve"> wastewater treatment </w:t>
      </w:r>
      <w:r w:rsidR="005B2D03" w:rsidRPr="00C360E9">
        <w:rPr>
          <w:sz w:val="22"/>
          <w:szCs w:val="22"/>
        </w:rPr>
        <w:t>department.</w:t>
      </w:r>
      <w:r w:rsidRPr="00C360E9">
        <w:rPr>
          <w:sz w:val="22"/>
          <w:szCs w:val="22"/>
        </w:rPr>
        <w:t xml:space="preserve"> Services shall include analysis of industrial pretreatment samples, wastewater plant influent</w:t>
      </w:r>
      <w:r w:rsidR="00A748D9" w:rsidRPr="00C360E9">
        <w:rPr>
          <w:sz w:val="22"/>
          <w:szCs w:val="22"/>
        </w:rPr>
        <w:t>,</w:t>
      </w:r>
      <w:r w:rsidRPr="00C360E9">
        <w:rPr>
          <w:sz w:val="22"/>
          <w:szCs w:val="22"/>
        </w:rPr>
        <w:t xml:space="preserve"> effluent, and sludge samples.  The City wishes to qualify and retain the services of one or more laboratories capable of satisfactorily performing these analyses.</w:t>
      </w:r>
      <w:r w:rsidR="00595E1B" w:rsidRPr="00C360E9">
        <w:rPr>
          <w:sz w:val="22"/>
          <w:szCs w:val="22"/>
        </w:rPr>
        <w:t xml:space="preserve"> </w:t>
      </w:r>
      <w:r w:rsidR="005B2D03" w:rsidRPr="00C360E9">
        <w:rPr>
          <w:sz w:val="22"/>
          <w:szCs w:val="22"/>
        </w:rPr>
        <w:t xml:space="preserve">An award, if approved by Council, would be a </w:t>
      </w:r>
      <w:r w:rsidR="00232FB5" w:rsidRPr="00C360E9">
        <w:rPr>
          <w:sz w:val="22"/>
          <w:szCs w:val="22"/>
        </w:rPr>
        <w:t xml:space="preserve">one year </w:t>
      </w:r>
      <w:r w:rsidR="00C360E9" w:rsidRPr="00C360E9">
        <w:rPr>
          <w:sz w:val="22"/>
          <w:szCs w:val="22"/>
        </w:rPr>
        <w:t xml:space="preserve">agreement with </w:t>
      </w:r>
      <w:r w:rsidR="007E1F3D">
        <w:rPr>
          <w:sz w:val="22"/>
          <w:szCs w:val="22"/>
        </w:rPr>
        <w:t>an option to renew for two consecutive one year terms</w:t>
      </w:r>
      <w:r w:rsidR="008B314A" w:rsidRPr="00C360E9">
        <w:rPr>
          <w:sz w:val="22"/>
          <w:szCs w:val="22"/>
        </w:rPr>
        <w:t>.</w:t>
      </w:r>
    </w:p>
    <w:p w:rsidR="005B2D03" w:rsidRPr="00C360E9" w:rsidRDefault="005B2D03" w:rsidP="00C976E9">
      <w:pPr>
        <w:pStyle w:val="NormalWeb"/>
        <w:spacing w:before="0" w:beforeAutospacing="0" w:after="0" w:afterAutospacing="0"/>
        <w:ind w:left="720" w:firstLine="720"/>
        <w:jc w:val="both"/>
        <w:rPr>
          <w:sz w:val="22"/>
          <w:szCs w:val="22"/>
        </w:rPr>
      </w:pPr>
    </w:p>
    <w:p w:rsidR="00595E1B" w:rsidRPr="00C360E9" w:rsidRDefault="00595E1B" w:rsidP="00C976E9">
      <w:pPr>
        <w:pStyle w:val="Subtitle"/>
        <w:ind w:left="720" w:firstLine="720"/>
        <w:jc w:val="both"/>
        <w:rPr>
          <w:b w:val="0"/>
          <w:sz w:val="22"/>
          <w:szCs w:val="22"/>
        </w:rPr>
      </w:pPr>
      <w:r w:rsidRPr="00C360E9">
        <w:rPr>
          <w:b w:val="0"/>
          <w:sz w:val="22"/>
          <w:szCs w:val="22"/>
        </w:rPr>
        <w:t>The actual number of tests and ana</w:t>
      </w:r>
      <w:r w:rsidR="00A748D9" w:rsidRPr="00C360E9">
        <w:rPr>
          <w:b w:val="0"/>
          <w:sz w:val="22"/>
          <w:szCs w:val="22"/>
        </w:rPr>
        <w:t xml:space="preserve">lysis to be performed is dependent upon existing conditions as well as federal and state requirements </w:t>
      </w:r>
      <w:r w:rsidR="00A7252E" w:rsidRPr="00C360E9">
        <w:rPr>
          <w:b w:val="0"/>
          <w:sz w:val="22"/>
          <w:szCs w:val="22"/>
        </w:rPr>
        <w:t>T</w:t>
      </w:r>
      <w:r w:rsidRPr="00C360E9">
        <w:rPr>
          <w:b w:val="0"/>
          <w:sz w:val="22"/>
          <w:szCs w:val="22"/>
        </w:rPr>
        <w:t>he City</w:t>
      </w:r>
      <w:r w:rsidR="00A7252E" w:rsidRPr="00C360E9">
        <w:rPr>
          <w:b w:val="0"/>
          <w:sz w:val="22"/>
          <w:szCs w:val="22"/>
        </w:rPr>
        <w:t xml:space="preserve"> does not</w:t>
      </w:r>
      <w:r w:rsidRPr="00C360E9">
        <w:rPr>
          <w:b w:val="0"/>
          <w:sz w:val="22"/>
          <w:szCs w:val="22"/>
        </w:rPr>
        <w:t xml:space="preserve"> guarantee any minimum number of tests.</w:t>
      </w:r>
    </w:p>
    <w:p w:rsidR="00D67A60" w:rsidRPr="00C360E9" w:rsidRDefault="00D67A60" w:rsidP="00C976E9">
      <w:pPr>
        <w:pStyle w:val="NormalWeb"/>
        <w:jc w:val="both"/>
        <w:rPr>
          <w:sz w:val="22"/>
          <w:szCs w:val="22"/>
          <w:u w:val="single"/>
        </w:rPr>
      </w:pPr>
      <w:r w:rsidRPr="00C360E9">
        <w:rPr>
          <w:sz w:val="22"/>
          <w:szCs w:val="22"/>
        </w:rPr>
        <w:t>2</w:t>
      </w:r>
      <w:r w:rsidRPr="00C360E9">
        <w:rPr>
          <w:sz w:val="22"/>
          <w:szCs w:val="22"/>
          <w:u w:val="single"/>
        </w:rPr>
        <w:t>. GENERAL CONDITIONS</w:t>
      </w:r>
    </w:p>
    <w:p w:rsidR="00D67A60" w:rsidRPr="00C360E9" w:rsidRDefault="00D67A60" w:rsidP="00C976E9">
      <w:pPr>
        <w:pStyle w:val="NormalWeb"/>
        <w:ind w:left="720" w:hanging="720"/>
        <w:jc w:val="both"/>
        <w:rPr>
          <w:sz w:val="22"/>
          <w:szCs w:val="22"/>
        </w:rPr>
      </w:pPr>
      <w:r w:rsidRPr="00C360E9">
        <w:rPr>
          <w:sz w:val="22"/>
          <w:szCs w:val="22"/>
        </w:rPr>
        <w:tab/>
        <w:t xml:space="preserve">General conditions as listed below shall apply to this Invitation to Bid unless those general conditions conflict with other terms and conditions as further defined within this invitation. In the event of such a conflict the invitation to bid shall be the controlling document. </w:t>
      </w:r>
    </w:p>
    <w:p w:rsidR="00D67A60" w:rsidRPr="00C360E9" w:rsidRDefault="00D67A60" w:rsidP="00C976E9">
      <w:pPr>
        <w:numPr>
          <w:ilvl w:val="0"/>
          <w:numId w:val="9"/>
        </w:numPr>
        <w:jc w:val="both"/>
        <w:rPr>
          <w:sz w:val="22"/>
          <w:szCs w:val="22"/>
        </w:rPr>
      </w:pPr>
      <w:r w:rsidRPr="00C360E9">
        <w:rPr>
          <w:b/>
          <w:bCs/>
          <w:sz w:val="22"/>
          <w:szCs w:val="22"/>
        </w:rPr>
        <w:t>Acceptance of Bids</w:t>
      </w:r>
      <w:r w:rsidRPr="00C360E9">
        <w:rPr>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D67A60" w:rsidRPr="00C360E9" w:rsidRDefault="00C976E9" w:rsidP="00C976E9">
      <w:pPr>
        <w:tabs>
          <w:tab w:val="left" w:pos="6884"/>
        </w:tabs>
        <w:jc w:val="both"/>
        <w:rPr>
          <w:sz w:val="22"/>
          <w:szCs w:val="22"/>
        </w:rPr>
      </w:pPr>
      <w:r>
        <w:rPr>
          <w:sz w:val="22"/>
          <w:szCs w:val="22"/>
        </w:rPr>
        <w:tab/>
      </w:r>
    </w:p>
    <w:p w:rsidR="00D67A60" w:rsidRPr="00C360E9" w:rsidRDefault="00D67A60" w:rsidP="00C976E9">
      <w:pPr>
        <w:ind w:left="1023"/>
        <w:jc w:val="both"/>
        <w:rPr>
          <w:sz w:val="22"/>
          <w:szCs w:val="22"/>
        </w:rPr>
      </w:pPr>
      <w:r w:rsidRPr="00C360E9">
        <w:rPr>
          <w:sz w:val="22"/>
          <w:szCs w:val="22"/>
        </w:rPr>
        <w:t>If the bidder fails to state the time within which a bid must be accepted, it is understood and agreed that said City shall have ninety (90) days from bid opening date in which to accept bid.</w:t>
      </w:r>
    </w:p>
    <w:p w:rsidR="00D67A60" w:rsidRPr="00C360E9" w:rsidRDefault="00D67A60" w:rsidP="00C976E9">
      <w:pPr>
        <w:ind w:left="417"/>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Error in Bid:</w:t>
      </w:r>
      <w:r w:rsidRPr="00C360E9">
        <w:rPr>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Discount Period: </w:t>
      </w:r>
      <w:r w:rsidRPr="00C360E9">
        <w:rPr>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Sample of Materials:</w:t>
      </w:r>
      <w:r w:rsidRPr="00C360E9">
        <w:rPr>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Signatures on Bids: </w:t>
      </w:r>
      <w:r w:rsidRPr="00C360E9">
        <w:rPr>
          <w:sz w:val="22"/>
          <w:szCs w:val="22"/>
        </w:rPr>
        <w:t xml:space="preserve">Each bid must contain the full name and business address of the bidder. Any person signing a proposal sheet for himself or as agent, employee or officer of another </w:t>
      </w:r>
      <w:r w:rsidRPr="00C360E9">
        <w:rPr>
          <w:sz w:val="22"/>
          <w:szCs w:val="22"/>
        </w:rPr>
        <w:lastRenderedPageBreak/>
        <w:t>must show his title and, if requested by the City shall furnish proof of his authority to make such proposal.</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Alternate Bids:</w:t>
      </w:r>
      <w:r w:rsidRPr="00C360E9">
        <w:rPr>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Proposal Sheets: </w:t>
      </w:r>
      <w:r w:rsidRPr="00C360E9">
        <w:rPr>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Federal or State Sales, Excise or Use Tax:</w:t>
      </w:r>
      <w:r w:rsidRPr="00C360E9">
        <w:rPr>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Delivery: </w:t>
      </w:r>
      <w:r w:rsidRPr="00C360E9">
        <w:rPr>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(90) days after receipt of order, unless otherwise stated in the specifications.</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Compliance: </w:t>
      </w:r>
      <w:r w:rsidRPr="00C360E9">
        <w:rPr>
          <w:sz w:val="22"/>
          <w:szCs w:val="22"/>
        </w:rPr>
        <w:t xml:space="preserve">Contractor shall abide by all federal, state and local laws and statues and obtain all permits as may be required </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Specifications: </w:t>
      </w:r>
      <w:r w:rsidRPr="00C360E9">
        <w:rPr>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Inspection: </w:t>
      </w:r>
      <w:r w:rsidRPr="00C360E9">
        <w:rPr>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 Bid Opening: </w:t>
      </w:r>
      <w:r w:rsidRPr="00C360E9">
        <w:rPr>
          <w:sz w:val="22"/>
          <w:szCs w:val="22"/>
        </w:rPr>
        <w:t xml:space="preserve">Bids may be mailed or delivered to the </w:t>
      </w:r>
      <w:r w:rsidR="005B2D03" w:rsidRPr="00C360E9">
        <w:rPr>
          <w:sz w:val="22"/>
          <w:szCs w:val="22"/>
        </w:rPr>
        <w:t xml:space="preserve">Purchasing </w:t>
      </w:r>
      <w:proofErr w:type="gramStart"/>
      <w:r w:rsidR="005B2D03" w:rsidRPr="00C360E9">
        <w:rPr>
          <w:sz w:val="22"/>
          <w:szCs w:val="22"/>
        </w:rPr>
        <w:t>Agent ,</w:t>
      </w:r>
      <w:proofErr w:type="gramEnd"/>
      <w:r w:rsidR="005B2D03" w:rsidRPr="00C360E9">
        <w:rPr>
          <w:sz w:val="22"/>
          <w:szCs w:val="22"/>
        </w:rPr>
        <w:t xml:space="preserve"> </w:t>
      </w:r>
      <w:r w:rsidRPr="00C360E9">
        <w:rPr>
          <w:sz w:val="22"/>
          <w:szCs w:val="22"/>
        </w:rPr>
        <w:t>City Manager’s Office of the City of Columbia, Tennessee. All bids will be opened and publicly read at a time specified on the Proposal Sheet. Bids received after the specified time for opening, as shown on the invitation to bid, will not be accepted.</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Cancellation: </w:t>
      </w:r>
      <w:r w:rsidRPr="00C360E9">
        <w:rPr>
          <w:sz w:val="22"/>
          <w:szCs w:val="22"/>
        </w:rPr>
        <w:t>The City reserves the right to cancel an accepted bid or contract in whole or in part due to nonperformance or defective products.</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lastRenderedPageBreak/>
        <w:t xml:space="preserve">Permit Requirements: </w:t>
      </w:r>
      <w:r w:rsidRPr="00C360E9">
        <w:rPr>
          <w:sz w:val="22"/>
          <w:szCs w:val="22"/>
        </w:rPr>
        <w:t>Successful bidder will be responsible for securing any necessary permits for complying with all required inspections whether local state or federal.</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Multi-Year Contracts: </w:t>
      </w:r>
      <w:r w:rsidRPr="00C360E9">
        <w:rPr>
          <w:sz w:val="22"/>
          <w:szCs w:val="22"/>
        </w:rPr>
        <w:t xml:space="preserve">The City reserves the right to enter into multi –year contracts and further has the right to terminate </w:t>
      </w:r>
      <w:r w:rsidR="008B314A" w:rsidRPr="00C360E9">
        <w:rPr>
          <w:sz w:val="22"/>
          <w:szCs w:val="22"/>
        </w:rPr>
        <w:t>multiyear</w:t>
      </w:r>
      <w:r w:rsidRPr="00C360E9">
        <w:rPr>
          <w:sz w:val="22"/>
          <w:szCs w:val="22"/>
        </w:rPr>
        <w:t xml:space="preserve"> contracts due to non-appropriation of funds.</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 xml:space="preserve">Financial Statements: </w:t>
      </w:r>
      <w:r w:rsidRPr="00C360E9">
        <w:rPr>
          <w:sz w:val="22"/>
          <w:szCs w:val="22"/>
        </w:rPr>
        <w:t>Financial statements will be submitted upon request.</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Term of Payment:</w:t>
      </w:r>
      <w:r w:rsidRPr="00C360E9">
        <w:rPr>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D67A60" w:rsidRPr="00C360E9" w:rsidRDefault="00D67A60" w:rsidP="00C976E9">
      <w:pPr>
        <w:jc w:val="both"/>
        <w:rPr>
          <w:sz w:val="22"/>
          <w:szCs w:val="22"/>
        </w:rPr>
      </w:pPr>
    </w:p>
    <w:p w:rsidR="00D67A60" w:rsidRPr="00C360E9" w:rsidRDefault="00D67A60" w:rsidP="00C976E9">
      <w:pPr>
        <w:numPr>
          <w:ilvl w:val="0"/>
          <w:numId w:val="9"/>
        </w:numPr>
        <w:jc w:val="both"/>
        <w:rPr>
          <w:sz w:val="22"/>
          <w:szCs w:val="22"/>
        </w:rPr>
      </w:pPr>
      <w:r w:rsidRPr="00C360E9">
        <w:rPr>
          <w:b/>
          <w:bCs/>
          <w:sz w:val="22"/>
          <w:szCs w:val="22"/>
        </w:rPr>
        <w:t>Complaints – Vendors</w:t>
      </w:r>
    </w:p>
    <w:p w:rsidR="00D67A60" w:rsidRPr="00C360E9" w:rsidRDefault="00D67A60" w:rsidP="00C976E9">
      <w:pPr>
        <w:jc w:val="both"/>
        <w:rPr>
          <w:sz w:val="22"/>
          <w:szCs w:val="22"/>
        </w:rPr>
      </w:pPr>
    </w:p>
    <w:p w:rsidR="00D67A60" w:rsidRPr="00C360E9" w:rsidRDefault="00D67A60" w:rsidP="00C976E9">
      <w:pPr>
        <w:pStyle w:val="BodyTextIndent"/>
        <w:ind w:left="1023"/>
        <w:jc w:val="both"/>
        <w:rPr>
          <w:sz w:val="22"/>
          <w:szCs w:val="22"/>
        </w:rPr>
      </w:pPr>
      <w:r w:rsidRPr="00C360E9">
        <w:rPr>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D67A60" w:rsidRPr="00C360E9" w:rsidRDefault="00D67A60" w:rsidP="00C976E9">
      <w:pPr>
        <w:ind w:left="417"/>
        <w:jc w:val="both"/>
        <w:rPr>
          <w:sz w:val="22"/>
          <w:szCs w:val="22"/>
        </w:rPr>
      </w:pPr>
    </w:p>
    <w:p w:rsidR="00D67A60" w:rsidRPr="00C360E9" w:rsidRDefault="00D67A60" w:rsidP="00C976E9">
      <w:pPr>
        <w:numPr>
          <w:ilvl w:val="1"/>
          <w:numId w:val="9"/>
        </w:numPr>
        <w:jc w:val="both"/>
        <w:rPr>
          <w:sz w:val="22"/>
          <w:szCs w:val="22"/>
        </w:rPr>
      </w:pPr>
      <w:r w:rsidRPr="00C360E9">
        <w:rPr>
          <w:sz w:val="22"/>
          <w:szCs w:val="22"/>
          <w:u w:val="single"/>
        </w:rPr>
        <w:t xml:space="preserve">Step </w:t>
      </w:r>
      <w:r w:rsidR="008B314A" w:rsidRPr="00C360E9">
        <w:rPr>
          <w:sz w:val="22"/>
          <w:szCs w:val="22"/>
          <w:u w:val="single"/>
        </w:rPr>
        <w:t>One</w:t>
      </w:r>
      <w:r w:rsidR="008B314A" w:rsidRPr="00C360E9">
        <w:rPr>
          <w:sz w:val="22"/>
          <w:szCs w:val="22"/>
        </w:rPr>
        <w:t xml:space="preserve"> -</w:t>
      </w:r>
      <w:r w:rsidRPr="00C360E9">
        <w:rPr>
          <w:sz w:val="22"/>
          <w:szCs w:val="22"/>
        </w:rPr>
        <w:t xml:space="preserve"> Vendor must file a grievance with the </w:t>
      </w:r>
      <w:r w:rsidR="00A748D9" w:rsidRPr="00C360E9">
        <w:rPr>
          <w:sz w:val="22"/>
          <w:szCs w:val="22"/>
        </w:rPr>
        <w:t xml:space="preserve">Purchasing Agent </w:t>
      </w:r>
      <w:r w:rsidRPr="00C360E9">
        <w:rPr>
          <w:sz w:val="22"/>
          <w:szCs w:val="22"/>
        </w:rPr>
        <w:t>no later than seven (7) calendar days after the occurrence of the dispute or incident. The complaint must be in writing and include all supporting data and desired solution or remedy. The Administrative Secretary will review the complaint with the user department and provide a written reply within forty-five (45) days to the vendor.</w:t>
      </w:r>
    </w:p>
    <w:p w:rsidR="00D67A60" w:rsidRPr="00C360E9" w:rsidRDefault="00D67A60" w:rsidP="00C976E9">
      <w:pPr>
        <w:numPr>
          <w:ilvl w:val="1"/>
          <w:numId w:val="9"/>
        </w:numPr>
        <w:jc w:val="both"/>
        <w:rPr>
          <w:sz w:val="22"/>
          <w:szCs w:val="22"/>
        </w:rPr>
      </w:pPr>
      <w:r w:rsidRPr="00C360E9">
        <w:rPr>
          <w:sz w:val="22"/>
          <w:szCs w:val="22"/>
          <w:u w:val="single"/>
        </w:rPr>
        <w:t xml:space="preserve">Step Two </w:t>
      </w:r>
      <w:r w:rsidRPr="00C360E9">
        <w:rPr>
          <w:sz w:val="22"/>
          <w:szCs w:val="22"/>
        </w:rPr>
        <w:t>– If the vendor is not satisfied wit</w:t>
      </w:r>
      <w:r w:rsidR="008B314A">
        <w:rPr>
          <w:sz w:val="22"/>
          <w:szCs w:val="22"/>
        </w:rPr>
        <w:t>h</w:t>
      </w:r>
      <w:r w:rsidRPr="00C360E9">
        <w:rPr>
          <w:sz w:val="22"/>
          <w:szCs w:val="22"/>
        </w:rPr>
        <w:t xml:space="preserve"> the </w:t>
      </w:r>
      <w:r w:rsidR="00A748D9" w:rsidRPr="00C360E9">
        <w:rPr>
          <w:sz w:val="22"/>
          <w:szCs w:val="22"/>
        </w:rPr>
        <w:t xml:space="preserve">Purchasing </w:t>
      </w:r>
      <w:r w:rsidR="008B314A" w:rsidRPr="00C360E9">
        <w:rPr>
          <w:sz w:val="22"/>
          <w:szCs w:val="22"/>
        </w:rPr>
        <w:t>Agent’s response</w:t>
      </w:r>
      <w:r w:rsidRPr="00C360E9">
        <w:rPr>
          <w:sz w:val="22"/>
          <w:szCs w:val="22"/>
        </w:rPr>
        <w:t xml:space="preserve">, the vendor may appeal in writing to the City Manager, who shall with the advice of the </w:t>
      </w:r>
      <w:r w:rsidR="00A748D9" w:rsidRPr="00C360E9">
        <w:rPr>
          <w:sz w:val="22"/>
          <w:szCs w:val="22"/>
        </w:rPr>
        <w:t xml:space="preserve">Purchasing Agent </w:t>
      </w:r>
      <w:r w:rsidRPr="00C360E9">
        <w:rPr>
          <w:sz w:val="22"/>
          <w:szCs w:val="22"/>
        </w:rPr>
        <w:t>and/or City Attorney, make a written determination to all parties involved. The City Manager’s decision shall be final.</w:t>
      </w:r>
    </w:p>
    <w:p w:rsidR="00D67A60" w:rsidRPr="00C360E9" w:rsidRDefault="00D67A60" w:rsidP="00C976E9">
      <w:pPr>
        <w:pStyle w:val="NormalWeb"/>
        <w:ind w:left="720" w:hanging="720"/>
        <w:jc w:val="both"/>
        <w:rPr>
          <w:sz w:val="22"/>
          <w:szCs w:val="22"/>
          <w:u w:val="single"/>
        </w:rPr>
      </w:pPr>
      <w:r w:rsidRPr="00C360E9">
        <w:rPr>
          <w:sz w:val="22"/>
          <w:szCs w:val="22"/>
        </w:rPr>
        <w:t xml:space="preserve">3. </w:t>
      </w:r>
      <w:r w:rsidRPr="00C360E9">
        <w:rPr>
          <w:sz w:val="22"/>
          <w:szCs w:val="22"/>
          <w:u w:val="single"/>
        </w:rPr>
        <w:t>INSURANCE</w:t>
      </w:r>
    </w:p>
    <w:p w:rsidR="00D67A60" w:rsidRPr="00C360E9" w:rsidRDefault="00D67A60" w:rsidP="00C976E9">
      <w:pPr>
        <w:pStyle w:val="NormalWeb"/>
        <w:ind w:left="720"/>
        <w:jc w:val="both"/>
        <w:rPr>
          <w:sz w:val="22"/>
          <w:szCs w:val="22"/>
        </w:rPr>
      </w:pPr>
      <w:r w:rsidRPr="00C360E9">
        <w:rPr>
          <w:sz w:val="22"/>
          <w:szCs w:val="22"/>
        </w:rPr>
        <w:t>The successful vendor</w:t>
      </w:r>
      <w:r w:rsidR="005B2D03" w:rsidRPr="00C360E9">
        <w:rPr>
          <w:sz w:val="22"/>
          <w:szCs w:val="22"/>
        </w:rPr>
        <w:t>, if requested,</w:t>
      </w:r>
      <w:r w:rsidRPr="00C360E9">
        <w:rPr>
          <w:sz w:val="22"/>
          <w:szCs w:val="22"/>
        </w:rPr>
        <w:t xml:space="preserve"> shall purchase and maintain in force, at his own expense </w:t>
      </w:r>
      <w:r w:rsidRPr="00C360E9">
        <w:rPr>
          <w:b/>
          <w:bCs/>
          <w:sz w:val="22"/>
          <w:szCs w:val="22"/>
        </w:rPr>
        <w:t>if requested</w:t>
      </w:r>
      <w:r w:rsidRPr="00C360E9">
        <w:rPr>
          <w:sz w:val="22"/>
          <w:szCs w:val="22"/>
        </w:rPr>
        <w:t xml:space="preserve"> </w:t>
      </w:r>
      <w:r w:rsidRPr="00C360E9">
        <w:rPr>
          <w:b/>
          <w:bCs/>
          <w:sz w:val="22"/>
          <w:szCs w:val="22"/>
        </w:rPr>
        <w:t>by the City</w:t>
      </w:r>
      <w:r w:rsidRPr="00C360E9">
        <w:rPr>
          <w:sz w:val="22"/>
          <w:szCs w:val="22"/>
        </w:rPr>
        <w:t xml:space="preserv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a copy of an original Certificate of Insurance if </w:t>
      </w:r>
      <w:r w:rsidR="008B314A" w:rsidRPr="00C360E9">
        <w:rPr>
          <w:sz w:val="22"/>
          <w:szCs w:val="22"/>
        </w:rPr>
        <w:t>requested,</w:t>
      </w:r>
      <w:r w:rsidRPr="00C360E9">
        <w:rPr>
          <w:sz w:val="22"/>
          <w:szCs w:val="22"/>
        </w:rPr>
        <w:t xml:space="preserve"> </w:t>
      </w:r>
      <w:r w:rsidRPr="00C360E9">
        <w:rPr>
          <w:sz w:val="22"/>
          <w:szCs w:val="22"/>
          <w:u w:val="single"/>
        </w:rPr>
        <w:t>naming City of Columbia as an additional insured</w:t>
      </w:r>
      <w:r w:rsidRPr="00C360E9">
        <w:rPr>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D67A60" w:rsidRPr="00C360E9" w:rsidRDefault="00D67A60" w:rsidP="00C976E9">
      <w:pPr>
        <w:pStyle w:val="NormalWeb"/>
        <w:ind w:firstLine="720"/>
        <w:jc w:val="both"/>
        <w:rPr>
          <w:sz w:val="22"/>
          <w:szCs w:val="22"/>
        </w:rPr>
      </w:pPr>
      <w:r w:rsidRPr="00C360E9">
        <w:rPr>
          <w:sz w:val="22"/>
          <w:szCs w:val="22"/>
        </w:rPr>
        <w:t>The following insurance requirements are the minimum that will be acceptable:</w:t>
      </w:r>
    </w:p>
    <w:p w:rsidR="00D67A60" w:rsidRPr="00C360E9" w:rsidRDefault="00D67A60" w:rsidP="00C976E9">
      <w:pPr>
        <w:pStyle w:val="NormalWeb"/>
        <w:numPr>
          <w:ilvl w:val="0"/>
          <w:numId w:val="33"/>
        </w:numPr>
        <w:jc w:val="both"/>
        <w:rPr>
          <w:sz w:val="22"/>
          <w:szCs w:val="22"/>
        </w:rPr>
      </w:pPr>
      <w:r w:rsidRPr="00C360E9">
        <w:rPr>
          <w:sz w:val="22"/>
          <w:szCs w:val="22"/>
        </w:rPr>
        <w:t>Worker's Compensation Insurance – State statutory limits.</w:t>
      </w:r>
    </w:p>
    <w:p w:rsidR="00D67A60" w:rsidRPr="00C360E9" w:rsidRDefault="00D67A60" w:rsidP="00C976E9">
      <w:pPr>
        <w:pStyle w:val="NormalWeb"/>
        <w:numPr>
          <w:ilvl w:val="0"/>
          <w:numId w:val="33"/>
        </w:numPr>
        <w:jc w:val="both"/>
        <w:rPr>
          <w:sz w:val="22"/>
          <w:szCs w:val="22"/>
        </w:rPr>
      </w:pPr>
      <w:r w:rsidRPr="00C360E9">
        <w:rPr>
          <w:sz w:val="22"/>
          <w:szCs w:val="22"/>
        </w:rPr>
        <w:lastRenderedPageBreak/>
        <w:t>Commercial General Liability - Including products and completed operations coverage and contractual liability on the amount of $500,000 CSL (combined single limit).</w:t>
      </w:r>
    </w:p>
    <w:p w:rsidR="00D67A60" w:rsidRPr="00C360E9" w:rsidRDefault="00D67A60" w:rsidP="00C976E9">
      <w:pPr>
        <w:pStyle w:val="NormalWeb"/>
        <w:numPr>
          <w:ilvl w:val="0"/>
          <w:numId w:val="33"/>
        </w:numPr>
        <w:spacing w:before="120" w:beforeAutospacing="0" w:after="120" w:afterAutospacing="0"/>
        <w:jc w:val="both"/>
        <w:rPr>
          <w:sz w:val="22"/>
          <w:szCs w:val="22"/>
        </w:rPr>
      </w:pPr>
      <w:r w:rsidRPr="00C360E9">
        <w:rPr>
          <w:sz w:val="22"/>
          <w:szCs w:val="22"/>
        </w:rPr>
        <w:t>Commercial Automobile Liability including owned, non-owned and hired car in the amount of $100,000 CSL.</w:t>
      </w:r>
    </w:p>
    <w:p w:rsidR="00581AF5" w:rsidRPr="00C360E9" w:rsidRDefault="00581AF5" w:rsidP="00C976E9">
      <w:pPr>
        <w:pStyle w:val="NormalWeb"/>
        <w:numPr>
          <w:ilvl w:val="0"/>
          <w:numId w:val="15"/>
        </w:numPr>
        <w:tabs>
          <w:tab w:val="clear" w:pos="1080"/>
          <w:tab w:val="num" w:pos="468"/>
        </w:tabs>
        <w:ind w:hanging="1080"/>
        <w:jc w:val="both"/>
        <w:rPr>
          <w:sz w:val="22"/>
          <w:szCs w:val="22"/>
          <w:u w:val="single"/>
        </w:rPr>
      </w:pPr>
      <w:r w:rsidRPr="00C360E9">
        <w:rPr>
          <w:sz w:val="22"/>
          <w:szCs w:val="22"/>
          <w:u w:val="single"/>
        </w:rPr>
        <w:t>Scope of the work required</w:t>
      </w:r>
    </w:p>
    <w:p w:rsidR="00D67A60" w:rsidRPr="00C360E9" w:rsidRDefault="00581AF5" w:rsidP="00C976E9">
      <w:pPr>
        <w:pStyle w:val="NormalWeb"/>
        <w:numPr>
          <w:ilvl w:val="1"/>
          <w:numId w:val="15"/>
        </w:numPr>
        <w:jc w:val="both"/>
        <w:rPr>
          <w:sz w:val="22"/>
          <w:szCs w:val="22"/>
          <w:u w:val="single"/>
        </w:rPr>
      </w:pPr>
      <w:r w:rsidRPr="00C360E9">
        <w:rPr>
          <w:sz w:val="22"/>
          <w:szCs w:val="22"/>
        </w:rPr>
        <w:t>Vendors shall be capable of providing analysis of industrial pretreatment samples, wastewater plant influent</w:t>
      </w:r>
      <w:r w:rsidR="00A748D9" w:rsidRPr="00C360E9">
        <w:rPr>
          <w:sz w:val="22"/>
          <w:szCs w:val="22"/>
        </w:rPr>
        <w:t>,</w:t>
      </w:r>
      <w:r w:rsidR="000E4232" w:rsidRPr="00C360E9">
        <w:rPr>
          <w:sz w:val="22"/>
          <w:szCs w:val="22"/>
        </w:rPr>
        <w:t xml:space="preserve"> </w:t>
      </w:r>
      <w:r w:rsidR="007E1F3D" w:rsidRPr="00C360E9">
        <w:rPr>
          <w:sz w:val="22"/>
          <w:szCs w:val="22"/>
        </w:rPr>
        <w:t>and effluent</w:t>
      </w:r>
      <w:r w:rsidRPr="00C360E9">
        <w:rPr>
          <w:sz w:val="22"/>
          <w:szCs w:val="22"/>
        </w:rPr>
        <w:t xml:space="preserve"> and sludge samples. </w:t>
      </w:r>
    </w:p>
    <w:p w:rsidR="000E4232" w:rsidRPr="00C360E9" w:rsidRDefault="000E4232" w:rsidP="00C976E9">
      <w:pPr>
        <w:pStyle w:val="NormalWeb"/>
        <w:numPr>
          <w:ilvl w:val="1"/>
          <w:numId w:val="15"/>
        </w:numPr>
        <w:jc w:val="both"/>
        <w:rPr>
          <w:sz w:val="22"/>
          <w:szCs w:val="22"/>
          <w:u w:val="single"/>
        </w:rPr>
      </w:pPr>
      <w:r w:rsidRPr="00C360E9">
        <w:rPr>
          <w:sz w:val="22"/>
          <w:szCs w:val="22"/>
        </w:rPr>
        <w:t xml:space="preserve">Test shall be performed for </w:t>
      </w:r>
      <w:r w:rsidRPr="007E1F3D">
        <w:rPr>
          <w:sz w:val="22"/>
          <w:szCs w:val="22"/>
          <w:u w:val="single"/>
        </w:rPr>
        <w:t>but not necessarily limited</w:t>
      </w:r>
      <w:r w:rsidRPr="00C360E9">
        <w:rPr>
          <w:sz w:val="22"/>
          <w:szCs w:val="22"/>
        </w:rPr>
        <w:t xml:space="preserve"> to silver, arsenic, cadmium, cyanide, chromium, copper, mercury, molybdenum, nickel, oil, grease, lead, total </w:t>
      </w:r>
      <w:proofErr w:type="spellStart"/>
      <w:r w:rsidRPr="00C360E9">
        <w:rPr>
          <w:sz w:val="22"/>
          <w:szCs w:val="22"/>
        </w:rPr>
        <w:t>phenon</w:t>
      </w:r>
      <w:proofErr w:type="spellEnd"/>
      <w:r w:rsidRPr="00C360E9">
        <w:rPr>
          <w:sz w:val="22"/>
          <w:szCs w:val="22"/>
        </w:rPr>
        <w:t xml:space="preserve">, selenium, volatiles and zinc. </w:t>
      </w:r>
    </w:p>
    <w:p w:rsidR="00903BC7" w:rsidRPr="00C360E9" w:rsidRDefault="00903BC7" w:rsidP="00C976E9">
      <w:pPr>
        <w:pStyle w:val="NormalWeb"/>
        <w:numPr>
          <w:ilvl w:val="1"/>
          <w:numId w:val="15"/>
        </w:numPr>
        <w:jc w:val="both"/>
        <w:rPr>
          <w:sz w:val="22"/>
          <w:szCs w:val="22"/>
          <w:u w:val="single"/>
        </w:rPr>
      </w:pPr>
      <w:r w:rsidRPr="00C360E9">
        <w:rPr>
          <w:sz w:val="22"/>
          <w:szCs w:val="22"/>
        </w:rPr>
        <w:t>Tests shall be performed in a manner generally consistent with industry norms for environmental laboratory testing and professional standards.</w:t>
      </w:r>
    </w:p>
    <w:p w:rsidR="00903BC7" w:rsidRPr="00C360E9" w:rsidRDefault="00903BC7" w:rsidP="00C976E9">
      <w:pPr>
        <w:pStyle w:val="NormalWeb"/>
        <w:numPr>
          <w:ilvl w:val="1"/>
          <w:numId w:val="15"/>
        </w:numPr>
        <w:jc w:val="both"/>
        <w:rPr>
          <w:sz w:val="22"/>
          <w:szCs w:val="22"/>
          <w:u w:val="single"/>
        </w:rPr>
      </w:pPr>
      <w:r w:rsidRPr="00C360E9">
        <w:rPr>
          <w:sz w:val="22"/>
          <w:szCs w:val="22"/>
        </w:rPr>
        <w:t xml:space="preserve">Test may be ordered in any manner with written purchase order, </w:t>
      </w:r>
      <w:r w:rsidR="00423B49" w:rsidRPr="00C360E9">
        <w:rPr>
          <w:sz w:val="22"/>
          <w:szCs w:val="22"/>
        </w:rPr>
        <w:t>fax,</w:t>
      </w:r>
      <w:r w:rsidRPr="00C360E9">
        <w:rPr>
          <w:sz w:val="22"/>
          <w:szCs w:val="22"/>
        </w:rPr>
        <w:t xml:space="preserve"> internet or phone provided a written confirmation is provided in addition to a telephone request.</w:t>
      </w:r>
    </w:p>
    <w:p w:rsidR="00903BC7" w:rsidRPr="00C360E9" w:rsidRDefault="00903BC7" w:rsidP="00C976E9">
      <w:pPr>
        <w:pStyle w:val="NormalWeb"/>
        <w:numPr>
          <w:ilvl w:val="1"/>
          <w:numId w:val="15"/>
        </w:numPr>
        <w:jc w:val="both"/>
        <w:rPr>
          <w:sz w:val="22"/>
          <w:szCs w:val="22"/>
          <w:u w:val="single"/>
        </w:rPr>
      </w:pPr>
      <w:r w:rsidRPr="00C360E9">
        <w:rPr>
          <w:sz w:val="22"/>
          <w:szCs w:val="22"/>
        </w:rPr>
        <w:t>The City s</w:t>
      </w:r>
      <w:r w:rsidR="0022664B" w:rsidRPr="00C360E9">
        <w:rPr>
          <w:sz w:val="22"/>
          <w:szCs w:val="22"/>
        </w:rPr>
        <w:t>hall</w:t>
      </w:r>
      <w:r w:rsidRPr="00C360E9">
        <w:rPr>
          <w:sz w:val="22"/>
          <w:szCs w:val="22"/>
        </w:rPr>
        <w:t xml:space="preserve"> be responsible for preparing samples to include identification of site, date, time, services to be preformed</w:t>
      </w:r>
      <w:r w:rsidR="00D21878" w:rsidRPr="00C360E9">
        <w:rPr>
          <w:sz w:val="22"/>
          <w:szCs w:val="22"/>
        </w:rPr>
        <w:t xml:space="preserve">, and proper labeling as may be required by Occupational Health and Safety  Administration, Environmental Protection Agency, Department of Transportation, Food and Drug administration or Toxic Substance Control Act. </w:t>
      </w:r>
    </w:p>
    <w:p w:rsidR="008F538B" w:rsidRPr="00C360E9" w:rsidRDefault="00581AF5" w:rsidP="00C976E9">
      <w:pPr>
        <w:pStyle w:val="NormalWeb"/>
        <w:numPr>
          <w:ilvl w:val="1"/>
          <w:numId w:val="15"/>
        </w:numPr>
        <w:jc w:val="both"/>
        <w:rPr>
          <w:sz w:val="22"/>
          <w:szCs w:val="22"/>
          <w:u w:val="single"/>
        </w:rPr>
      </w:pPr>
      <w:r w:rsidRPr="00C360E9">
        <w:rPr>
          <w:sz w:val="22"/>
          <w:szCs w:val="22"/>
        </w:rPr>
        <w:t xml:space="preserve">Vendor shall </w:t>
      </w:r>
      <w:r w:rsidR="008F538B" w:rsidRPr="00C360E9">
        <w:rPr>
          <w:sz w:val="22"/>
          <w:szCs w:val="22"/>
        </w:rPr>
        <w:t>furnish all technical personnel, labor, materials</w:t>
      </w:r>
      <w:r w:rsidR="00903BC7" w:rsidRPr="00C360E9">
        <w:rPr>
          <w:sz w:val="22"/>
          <w:szCs w:val="22"/>
        </w:rPr>
        <w:t>, containers</w:t>
      </w:r>
      <w:r w:rsidR="008F538B" w:rsidRPr="00C360E9">
        <w:rPr>
          <w:sz w:val="22"/>
          <w:szCs w:val="22"/>
        </w:rPr>
        <w:t>, machinery, tools, all necessary labels, bottles, preserved bottles, equipment, and services.</w:t>
      </w:r>
    </w:p>
    <w:p w:rsidR="00A7252E" w:rsidRPr="00C360E9" w:rsidRDefault="00581AF5" w:rsidP="00C976E9">
      <w:pPr>
        <w:pStyle w:val="NormalWeb"/>
        <w:numPr>
          <w:ilvl w:val="1"/>
          <w:numId w:val="15"/>
        </w:numPr>
        <w:jc w:val="both"/>
        <w:rPr>
          <w:sz w:val="22"/>
          <w:szCs w:val="22"/>
          <w:u w:val="single"/>
        </w:rPr>
      </w:pPr>
      <w:r w:rsidRPr="00C360E9">
        <w:rPr>
          <w:sz w:val="22"/>
          <w:szCs w:val="22"/>
        </w:rPr>
        <w:t>Vendor shall be expected to provide a</w:t>
      </w:r>
      <w:r w:rsidR="008F538B" w:rsidRPr="00C360E9">
        <w:rPr>
          <w:sz w:val="22"/>
          <w:szCs w:val="22"/>
        </w:rPr>
        <w:t>ll analyses and services in a timely fashion</w:t>
      </w:r>
      <w:r w:rsidRPr="00C360E9">
        <w:rPr>
          <w:sz w:val="22"/>
          <w:szCs w:val="22"/>
        </w:rPr>
        <w:t>.</w:t>
      </w:r>
    </w:p>
    <w:p w:rsidR="008F538B" w:rsidRPr="00C360E9" w:rsidRDefault="008F538B" w:rsidP="00C976E9">
      <w:pPr>
        <w:pStyle w:val="NormalWeb"/>
        <w:numPr>
          <w:ilvl w:val="1"/>
          <w:numId w:val="15"/>
        </w:numPr>
        <w:jc w:val="both"/>
        <w:rPr>
          <w:sz w:val="22"/>
          <w:szCs w:val="22"/>
          <w:u w:val="single"/>
        </w:rPr>
      </w:pPr>
      <w:r w:rsidRPr="00F01927">
        <w:rPr>
          <w:sz w:val="22"/>
          <w:szCs w:val="22"/>
          <w:u w:val="single"/>
        </w:rPr>
        <w:t>An option for samples to be picked up at the Columbia Wastewater Treatment Plant shall be included in the proposal</w:t>
      </w:r>
      <w:r w:rsidRPr="00C360E9">
        <w:rPr>
          <w:sz w:val="22"/>
          <w:szCs w:val="22"/>
        </w:rPr>
        <w:t>. The laboratory will be responsible for this pickup or will pay for the shipping expenses incurred for the pickup and delivery of the samples represented in this proposal.</w:t>
      </w:r>
    </w:p>
    <w:p w:rsidR="00162F87" w:rsidRPr="00C360E9" w:rsidRDefault="00162F87" w:rsidP="00F01927">
      <w:pPr>
        <w:pStyle w:val="Subtitle"/>
        <w:numPr>
          <w:ilvl w:val="0"/>
          <w:numId w:val="15"/>
        </w:numPr>
        <w:spacing w:after="120"/>
        <w:ind w:left="360"/>
        <w:jc w:val="both"/>
        <w:rPr>
          <w:b w:val="0"/>
          <w:sz w:val="22"/>
          <w:szCs w:val="22"/>
        </w:rPr>
      </w:pPr>
      <w:r w:rsidRPr="00C360E9">
        <w:rPr>
          <w:b w:val="0"/>
          <w:sz w:val="22"/>
          <w:szCs w:val="22"/>
          <w:u w:val="single"/>
        </w:rPr>
        <w:t>Subcontracting</w:t>
      </w:r>
      <w:r w:rsidRPr="00C360E9">
        <w:rPr>
          <w:b w:val="0"/>
          <w:sz w:val="22"/>
          <w:szCs w:val="22"/>
        </w:rPr>
        <w:t xml:space="preserve"> - The laboratory awarded this contract will be required to perform the analyses in-house and subcontracting will not be allowed</w:t>
      </w:r>
      <w:r w:rsidR="00A7252E" w:rsidRPr="00C360E9">
        <w:rPr>
          <w:b w:val="0"/>
          <w:sz w:val="22"/>
          <w:szCs w:val="22"/>
        </w:rPr>
        <w:t>.</w:t>
      </w:r>
      <w:r w:rsidRPr="00C360E9">
        <w:rPr>
          <w:b w:val="0"/>
          <w:sz w:val="22"/>
          <w:szCs w:val="22"/>
        </w:rPr>
        <w:t xml:space="preserve"> Subcontracting for any other services will be cause for contract termination.</w:t>
      </w:r>
    </w:p>
    <w:p w:rsidR="00D21878" w:rsidRDefault="00502B50" w:rsidP="00F01927">
      <w:pPr>
        <w:pStyle w:val="Subtitle"/>
        <w:numPr>
          <w:ilvl w:val="0"/>
          <w:numId w:val="15"/>
        </w:numPr>
        <w:spacing w:after="120"/>
        <w:ind w:left="360"/>
        <w:jc w:val="both"/>
        <w:rPr>
          <w:b w:val="0"/>
        </w:rPr>
      </w:pPr>
      <w:r w:rsidRPr="00C360E9">
        <w:rPr>
          <w:b w:val="0"/>
          <w:sz w:val="22"/>
          <w:szCs w:val="22"/>
          <w:u w:val="single"/>
        </w:rPr>
        <w:t xml:space="preserve">Site Inspection </w:t>
      </w:r>
      <w:r w:rsidRPr="00C360E9">
        <w:rPr>
          <w:b w:val="0"/>
          <w:sz w:val="22"/>
          <w:szCs w:val="22"/>
        </w:rPr>
        <w:t>– The City reserves the right to make an onsite inspection of the laboratory facilities, equipment and rece</w:t>
      </w:r>
      <w:r w:rsidRPr="005B2D03">
        <w:rPr>
          <w:b w:val="0"/>
        </w:rPr>
        <w:t>ptacles.</w:t>
      </w:r>
      <w:r w:rsidR="00423B49" w:rsidRPr="005B2D03">
        <w:rPr>
          <w:b w:val="0"/>
        </w:rPr>
        <w:t xml:space="preserve"> </w:t>
      </w:r>
      <w:r w:rsidR="00D21878" w:rsidRPr="005B2D03">
        <w:rPr>
          <w:b w:val="0"/>
        </w:rPr>
        <w:t xml:space="preserve"> </w:t>
      </w:r>
    </w:p>
    <w:p w:rsidR="004C6375" w:rsidRDefault="004C6375" w:rsidP="00F01927">
      <w:pPr>
        <w:pStyle w:val="Subtitle"/>
        <w:numPr>
          <w:ilvl w:val="0"/>
          <w:numId w:val="15"/>
        </w:numPr>
        <w:spacing w:after="120"/>
        <w:ind w:left="360"/>
        <w:jc w:val="both"/>
        <w:rPr>
          <w:b w:val="0"/>
        </w:rPr>
      </w:pPr>
      <w:r>
        <w:rPr>
          <w:b w:val="0"/>
          <w:sz w:val="22"/>
          <w:szCs w:val="22"/>
          <w:u w:val="single"/>
        </w:rPr>
        <w:t xml:space="preserve">Terms of the award </w:t>
      </w:r>
      <w:r>
        <w:rPr>
          <w:b w:val="0"/>
          <w:sz w:val="22"/>
          <w:szCs w:val="22"/>
        </w:rPr>
        <w:t>– The award</w:t>
      </w:r>
      <w:r w:rsidR="00AB209D">
        <w:rPr>
          <w:b w:val="0"/>
          <w:sz w:val="22"/>
          <w:szCs w:val="22"/>
        </w:rPr>
        <w:t>, when approved by City Council,</w:t>
      </w:r>
      <w:r>
        <w:rPr>
          <w:b w:val="0"/>
          <w:sz w:val="22"/>
          <w:szCs w:val="22"/>
        </w:rPr>
        <w:t xml:space="preserve"> shall be for a period of one-year from the date bid opening. The City shall retain the </w:t>
      </w:r>
      <w:r w:rsidR="00AB209D">
        <w:rPr>
          <w:b w:val="0"/>
          <w:sz w:val="22"/>
          <w:szCs w:val="22"/>
        </w:rPr>
        <w:t xml:space="preserve">right to renew the award for two additional one-year terms at the same rates as originally bid unless otherwise disclosed by the bidder in the initial bid and accepted by the City at the time of renewal. </w:t>
      </w:r>
    </w:p>
    <w:p w:rsidR="008B314A" w:rsidRDefault="008B314A" w:rsidP="00C976E9">
      <w:pPr>
        <w:pStyle w:val="Subtitle"/>
        <w:spacing w:after="120"/>
        <w:jc w:val="both"/>
      </w:pPr>
    </w:p>
    <w:p w:rsidR="008B314A" w:rsidRDefault="008B314A" w:rsidP="008B314A">
      <w:pPr>
        <w:pStyle w:val="Subtitle"/>
        <w:spacing w:after="120"/>
        <w:jc w:val="both"/>
      </w:pPr>
    </w:p>
    <w:p w:rsidR="008B314A" w:rsidRDefault="008B314A" w:rsidP="008B314A">
      <w:pPr>
        <w:pStyle w:val="Subtitle"/>
        <w:spacing w:after="120"/>
        <w:jc w:val="both"/>
      </w:pPr>
    </w:p>
    <w:p w:rsidR="008B314A" w:rsidRDefault="008B314A" w:rsidP="008B314A">
      <w:pPr>
        <w:pStyle w:val="Subtitle"/>
        <w:spacing w:after="120"/>
        <w:jc w:val="both"/>
      </w:pPr>
    </w:p>
    <w:p w:rsidR="008B314A" w:rsidRDefault="008B314A" w:rsidP="008B314A">
      <w:pPr>
        <w:pStyle w:val="Subtitle"/>
        <w:spacing w:after="120"/>
        <w:jc w:val="both"/>
      </w:pPr>
    </w:p>
    <w:p w:rsidR="008B314A" w:rsidRDefault="008B314A" w:rsidP="008B314A">
      <w:pPr>
        <w:pStyle w:val="Subtitle"/>
        <w:spacing w:after="120"/>
        <w:jc w:val="both"/>
      </w:pPr>
    </w:p>
    <w:p w:rsidR="008B314A" w:rsidRDefault="008B314A" w:rsidP="008B314A">
      <w:pPr>
        <w:pStyle w:val="Subtitle"/>
        <w:spacing w:after="120"/>
        <w:jc w:val="both"/>
      </w:pPr>
    </w:p>
    <w:p w:rsidR="008B314A" w:rsidRDefault="008B314A" w:rsidP="008B314A">
      <w:pPr>
        <w:pStyle w:val="Subtitle"/>
        <w:spacing w:after="120"/>
        <w:jc w:val="both"/>
      </w:pPr>
    </w:p>
    <w:p w:rsidR="00646758" w:rsidRPr="007D3AA7" w:rsidRDefault="00AB209D" w:rsidP="00646758">
      <w:pPr>
        <w:pStyle w:val="PlainText"/>
        <w:jc w:val="center"/>
        <w:rPr>
          <w:rFonts w:ascii="Times New Roman" w:hAnsi="Times New Roman"/>
          <w:sz w:val="22"/>
          <w:szCs w:val="22"/>
        </w:rPr>
      </w:pPr>
      <w:r>
        <w:rPr>
          <w:rFonts w:ascii="Times New Roman" w:hAnsi="Times New Roman"/>
          <w:sz w:val="22"/>
          <w:szCs w:val="22"/>
        </w:rPr>
        <w:lastRenderedPageBreak/>
        <w:t>B</w:t>
      </w:r>
      <w:r w:rsidR="00646758" w:rsidRPr="007D3AA7">
        <w:rPr>
          <w:rFonts w:ascii="Times New Roman" w:hAnsi="Times New Roman"/>
          <w:sz w:val="22"/>
          <w:szCs w:val="22"/>
        </w:rPr>
        <w:t xml:space="preserve">id </w:t>
      </w:r>
      <w:proofErr w:type="gramStart"/>
      <w:r w:rsidR="00646758" w:rsidRPr="007D3AA7">
        <w:rPr>
          <w:rFonts w:ascii="Times New Roman" w:hAnsi="Times New Roman"/>
          <w:sz w:val="22"/>
          <w:szCs w:val="22"/>
        </w:rPr>
        <w:t>Sheet  for</w:t>
      </w:r>
      <w:proofErr w:type="gramEnd"/>
      <w:r w:rsidR="00646758" w:rsidRPr="007D3AA7">
        <w:rPr>
          <w:rFonts w:ascii="Times New Roman" w:hAnsi="Times New Roman"/>
          <w:sz w:val="22"/>
          <w:szCs w:val="22"/>
        </w:rPr>
        <w:t xml:space="preserve"> City of Columbia</w:t>
      </w:r>
    </w:p>
    <w:p w:rsidR="00646758" w:rsidRPr="007D3AA7" w:rsidRDefault="00646758" w:rsidP="00646758">
      <w:pPr>
        <w:pStyle w:val="Heading1"/>
        <w:jc w:val="center"/>
        <w:rPr>
          <w:bCs w:val="0"/>
          <w:sz w:val="22"/>
          <w:szCs w:val="22"/>
        </w:rPr>
      </w:pPr>
      <w:r w:rsidRPr="007D3AA7">
        <w:rPr>
          <w:bCs w:val="0"/>
          <w:sz w:val="22"/>
          <w:szCs w:val="22"/>
        </w:rPr>
        <w:t>Invitation to Bid – Environmental Laboratory Services</w:t>
      </w:r>
    </w:p>
    <w:p w:rsidR="00646758" w:rsidRPr="007D3AA7" w:rsidRDefault="00646758" w:rsidP="00646758">
      <w:pPr>
        <w:pStyle w:val="Heading1"/>
        <w:jc w:val="center"/>
        <w:rPr>
          <w:bCs w:val="0"/>
          <w:sz w:val="22"/>
          <w:szCs w:val="22"/>
        </w:rPr>
      </w:pPr>
      <w:r w:rsidRPr="007D3AA7">
        <w:rPr>
          <w:bCs w:val="0"/>
          <w:sz w:val="22"/>
          <w:szCs w:val="22"/>
        </w:rPr>
        <w:t>Solicitation # 412-0317-35</w:t>
      </w:r>
    </w:p>
    <w:p w:rsidR="007D3AA7" w:rsidRPr="007D3AA7" w:rsidRDefault="007D3AA7" w:rsidP="007D3AA7">
      <w:pPr>
        <w:jc w:val="center"/>
        <w:rPr>
          <w:sz w:val="22"/>
          <w:szCs w:val="22"/>
        </w:rPr>
      </w:pPr>
      <w:r>
        <w:rPr>
          <w:sz w:val="22"/>
          <w:szCs w:val="22"/>
        </w:rPr>
        <w:t>Page 1 o</w:t>
      </w:r>
      <w:r w:rsidRPr="007D3AA7">
        <w:rPr>
          <w:sz w:val="22"/>
          <w:szCs w:val="22"/>
        </w:rPr>
        <w:t xml:space="preserve">f 2 </w:t>
      </w:r>
    </w:p>
    <w:p w:rsidR="00C976E9" w:rsidRDefault="00C976E9" w:rsidP="00C976E9">
      <w:pPr>
        <w:pStyle w:val="Subtitle"/>
        <w:spacing w:after="120"/>
      </w:pPr>
    </w:p>
    <w:p w:rsidR="008B314A" w:rsidRPr="00414BB5" w:rsidRDefault="00414BB5" w:rsidP="00C976E9">
      <w:pPr>
        <w:pStyle w:val="Subtitle"/>
        <w:numPr>
          <w:ilvl w:val="0"/>
          <w:numId w:val="37"/>
        </w:numPr>
        <w:spacing w:after="120"/>
        <w:jc w:val="left"/>
        <w:rPr>
          <w:b w:val="0"/>
          <w:sz w:val="22"/>
          <w:szCs w:val="22"/>
        </w:rPr>
      </w:pPr>
      <w:r w:rsidRPr="00414BB5">
        <w:rPr>
          <w:b w:val="0"/>
          <w:sz w:val="22"/>
          <w:szCs w:val="22"/>
        </w:rPr>
        <w:t>Location of primary analytical facility: __________________________________</w:t>
      </w:r>
    </w:p>
    <w:p w:rsidR="00414BB5" w:rsidRPr="00414BB5" w:rsidRDefault="00414BB5" w:rsidP="00C976E9">
      <w:pPr>
        <w:pStyle w:val="Subtitle"/>
        <w:spacing w:after="120"/>
        <w:ind w:left="720"/>
        <w:jc w:val="left"/>
        <w:rPr>
          <w:b w:val="0"/>
          <w:sz w:val="22"/>
          <w:szCs w:val="22"/>
        </w:rPr>
      </w:pPr>
      <w:r w:rsidRPr="00414BB5">
        <w:rPr>
          <w:b w:val="0"/>
          <w:sz w:val="22"/>
          <w:szCs w:val="22"/>
        </w:rPr>
        <w:t>__________________________________________________________________</w:t>
      </w:r>
    </w:p>
    <w:p w:rsidR="00414BB5" w:rsidRDefault="00414BB5" w:rsidP="00C976E9">
      <w:pPr>
        <w:pStyle w:val="Subtitle"/>
        <w:numPr>
          <w:ilvl w:val="0"/>
          <w:numId w:val="37"/>
        </w:numPr>
        <w:spacing w:after="120"/>
        <w:jc w:val="left"/>
        <w:rPr>
          <w:b w:val="0"/>
          <w:sz w:val="22"/>
          <w:szCs w:val="22"/>
        </w:rPr>
      </w:pPr>
      <w:r w:rsidRPr="00414BB5">
        <w:rPr>
          <w:b w:val="0"/>
          <w:sz w:val="22"/>
          <w:szCs w:val="22"/>
        </w:rPr>
        <w:t>Hours available for sample receipt and/or shipping arrangements</w:t>
      </w:r>
      <w:r>
        <w:rPr>
          <w:b w:val="0"/>
          <w:sz w:val="22"/>
          <w:szCs w:val="22"/>
        </w:rPr>
        <w:t>: _____________</w:t>
      </w:r>
    </w:p>
    <w:p w:rsidR="00414BB5" w:rsidRPr="00414BB5" w:rsidRDefault="00414BB5" w:rsidP="00C976E9">
      <w:pPr>
        <w:pStyle w:val="Subtitle"/>
        <w:spacing w:after="120"/>
        <w:ind w:left="720"/>
        <w:jc w:val="left"/>
        <w:rPr>
          <w:b w:val="0"/>
          <w:sz w:val="22"/>
          <w:szCs w:val="22"/>
        </w:rPr>
      </w:pPr>
      <w:r>
        <w:rPr>
          <w:b w:val="0"/>
          <w:sz w:val="22"/>
          <w:szCs w:val="22"/>
        </w:rPr>
        <w:t>__________________________________________________________________</w:t>
      </w:r>
    </w:p>
    <w:p w:rsidR="00414BB5" w:rsidRDefault="00414BB5" w:rsidP="00C976E9">
      <w:pPr>
        <w:pStyle w:val="Subtitle"/>
        <w:numPr>
          <w:ilvl w:val="0"/>
          <w:numId w:val="37"/>
        </w:numPr>
        <w:spacing w:after="120"/>
        <w:jc w:val="left"/>
        <w:rPr>
          <w:b w:val="0"/>
          <w:sz w:val="22"/>
          <w:szCs w:val="22"/>
        </w:rPr>
      </w:pPr>
      <w:r>
        <w:rPr>
          <w:b w:val="0"/>
          <w:sz w:val="22"/>
          <w:szCs w:val="22"/>
        </w:rPr>
        <w:t xml:space="preserve">Are you able </w:t>
      </w:r>
      <w:r w:rsidRPr="00414BB5">
        <w:rPr>
          <w:b w:val="0"/>
          <w:sz w:val="22"/>
          <w:szCs w:val="22"/>
        </w:rPr>
        <w:t>to provide analysis results via the internet, e-mail, and fax</w:t>
      </w:r>
      <w:r>
        <w:rPr>
          <w:b w:val="0"/>
          <w:sz w:val="22"/>
          <w:szCs w:val="22"/>
        </w:rPr>
        <w:t>: ________</w:t>
      </w:r>
    </w:p>
    <w:p w:rsidR="00414BB5" w:rsidRDefault="00414BB5" w:rsidP="00C976E9">
      <w:pPr>
        <w:pStyle w:val="Subtitle"/>
        <w:numPr>
          <w:ilvl w:val="0"/>
          <w:numId w:val="37"/>
        </w:numPr>
        <w:spacing w:after="120"/>
        <w:jc w:val="left"/>
        <w:rPr>
          <w:b w:val="0"/>
          <w:sz w:val="22"/>
          <w:szCs w:val="22"/>
        </w:rPr>
      </w:pPr>
      <w:r>
        <w:rPr>
          <w:b w:val="0"/>
          <w:sz w:val="22"/>
          <w:szCs w:val="22"/>
        </w:rPr>
        <w:t>Have you attached a sample of an analytical report? _______________________</w:t>
      </w:r>
    </w:p>
    <w:p w:rsidR="00414BB5" w:rsidRDefault="00414BB5" w:rsidP="00C976E9">
      <w:pPr>
        <w:pStyle w:val="Subtitle"/>
        <w:numPr>
          <w:ilvl w:val="0"/>
          <w:numId w:val="37"/>
        </w:numPr>
        <w:spacing w:after="120"/>
        <w:jc w:val="left"/>
        <w:rPr>
          <w:b w:val="0"/>
          <w:sz w:val="22"/>
          <w:szCs w:val="22"/>
        </w:rPr>
      </w:pPr>
      <w:r>
        <w:rPr>
          <w:b w:val="0"/>
          <w:sz w:val="22"/>
          <w:szCs w:val="22"/>
        </w:rPr>
        <w:t>Have you enclosed a signed transmittal letter with the bid stating that you have read and understood the requirements of the invitation to bid and that you have both the staff and equipment to provide all the required tests?  ________</w:t>
      </w:r>
    </w:p>
    <w:p w:rsidR="00F01927" w:rsidRDefault="00F01927" w:rsidP="00C976E9">
      <w:pPr>
        <w:pStyle w:val="Subtitle"/>
        <w:numPr>
          <w:ilvl w:val="0"/>
          <w:numId w:val="37"/>
        </w:numPr>
        <w:spacing w:after="120"/>
        <w:jc w:val="left"/>
        <w:rPr>
          <w:b w:val="0"/>
          <w:sz w:val="22"/>
          <w:szCs w:val="22"/>
        </w:rPr>
      </w:pPr>
      <w:r>
        <w:rPr>
          <w:b w:val="0"/>
          <w:sz w:val="22"/>
          <w:szCs w:val="22"/>
        </w:rPr>
        <w:t>Do you have an option to pick up the samples at the City’s facility? __________</w:t>
      </w:r>
    </w:p>
    <w:p w:rsidR="008B314A" w:rsidRDefault="00F017BF" w:rsidP="00C976E9">
      <w:pPr>
        <w:pStyle w:val="Subtitle"/>
        <w:numPr>
          <w:ilvl w:val="0"/>
          <w:numId w:val="37"/>
        </w:numPr>
        <w:spacing w:after="120"/>
        <w:jc w:val="left"/>
      </w:pPr>
      <w:r w:rsidRPr="00F017BF">
        <w:rPr>
          <w:b w:val="0"/>
          <w:sz w:val="22"/>
          <w:szCs w:val="22"/>
        </w:rPr>
        <w:t xml:space="preserve">Bid for </w:t>
      </w:r>
      <w:r w:rsidR="00646758">
        <w:rPr>
          <w:b w:val="0"/>
          <w:sz w:val="22"/>
          <w:szCs w:val="22"/>
        </w:rPr>
        <w:t xml:space="preserve">environmental </w:t>
      </w:r>
      <w:r w:rsidRPr="00F017BF">
        <w:rPr>
          <w:b w:val="0"/>
          <w:sz w:val="22"/>
          <w:szCs w:val="22"/>
        </w:rPr>
        <w:t>testing</w:t>
      </w:r>
      <w:r w:rsidR="00646758">
        <w:rPr>
          <w:b w:val="0"/>
          <w:sz w:val="22"/>
          <w:szCs w:val="22"/>
        </w:rPr>
        <w:t xml:space="preserve"> services</w:t>
      </w:r>
      <w:r w:rsidRPr="00F017BF">
        <w:rPr>
          <w:b w:val="0"/>
          <w:sz w:val="22"/>
          <w:szCs w:val="22"/>
        </w:rPr>
        <w:t xml:space="preserve"> </w:t>
      </w:r>
    </w:p>
    <w:p w:rsidR="008B314A" w:rsidRDefault="008B314A" w:rsidP="008B314A">
      <w:pPr>
        <w:pStyle w:val="Subtitle"/>
        <w:spacing w:after="120"/>
        <w:jc w:val="both"/>
      </w:pPr>
    </w:p>
    <w:tbl>
      <w:tblPr>
        <w:tblStyle w:val="TableGrid"/>
        <w:tblW w:w="0" w:type="auto"/>
        <w:tblInd w:w="720" w:type="dxa"/>
        <w:tblLook w:val="04A0" w:firstRow="1" w:lastRow="0" w:firstColumn="1" w:lastColumn="0" w:noHBand="0" w:noVBand="1"/>
      </w:tblPr>
      <w:tblGrid>
        <w:gridCol w:w="2335"/>
        <w:gridCol w:w="2970"/>
        <w:gridCol w:w="2790"/>
      </w:tblGrid>
      <w:tr w:rsidR="008B314A" w:rsidRPr="00646758" w:rsidTr="008B314A">
        <w:trPr>
          <w:trHeight w:val="547"/>
        </w:trPr>
        <w:tc>
          <w:tcPr>
            <w:tcW w:w="2335" w:type="dxa"/>
          </w:tcPr>
          <w:p w:rsidR="008B314A" w:rsidRPr="008B314A" w:rsidRDefault="008B314A" w:rsidP="008B314A">
            <w:pPr>
              <w:ind w:left="360"/>
              <w:jc w:val="center"/>
              <w:rPr>
                <w:rFonts w:ascii="Times New Roman" w:hAnsi="Times New Roman" w:cs="Times New Roman"/>
                <w:b/>
                <w:sz w:val="22"/>
                <w:szCs w:val="22"/>
              </w:rPr>
            </w:pPr>
            <w:r w:rsidRPr="008B314A">
              <w:rPr>
                <w:rFonts w:ascii="Times New Roman" w:hAnsi="Times New Roman" w:cs="Times New Roman"/>
                <w:b/>
                <w:sz w:val="22"/>
                <w:szCs w:val="22"/>
              </w:rPr>
              <w:t>Test</w:t>
            </w:r>
          </w:p>
        </w:tc>
        <w:tc>
          <w:tcPr>
            <w:tcW w:w="2970" w:type="dxa"/>
          </w:tcPr>
          <w:p w:rsidR="008B314A" w:rsidRPr="00646758" w:rsidRDefault="008B314A" w:rsidP="008B314A">
            <w:pPr>
              <w:jc w:val="center"/>
              <w:rPr>
                <w:rFonts w:ascii="Times New Roman" w:hAnsi="Times New Roman" w:cs="Times New Roman"/>
                <w:b/>
                <w:sz w:val="22"/>
                <w:szCs w:val="22"/>
              </w:rPr>
            </w:pPr>
            <w:r w:rsidRPr="008B314A">
              <w:rPr>
                <w:rFonts w:ascii="Times New Roman" w:hAnsi="Times New Roman" w:cs="Times New Roman"/>
                <w:b/>
                <w:sz w:val="22"/>
                <w:szCs w:val="22"/>
              </w:rPr>
              <w:t>Method</w:t>
            </w:r>
          </w:p>
        </w:tc>
        <w:tc>
          <w:tcPr>
            <w:tcW w:w="2790" w:type="dxa"/>
          </w:tcPr>
          <w:p w:rsidR="008B314A" w:rsidRPr="008B314A" w:rsidRDefault="008B314A" w:rsidP="008B314A">
            <w:pPr>
              <w:jc w:val="center"/>
              <w:rPr>
                <w:rFonts w:ascii="Times New Roman" w:hAnsi="Times New Roman" w:cs="Times New Roman"/>
                <w:b/>
                <w:sz w:val="22"/>
                <w:szCs w:val="22"/>
              </w:rPr>
            </w:pPr>
            <w:r w:rsidRPr="008B314A">
              <w:rPr>
                <w:rFonts w:ascii="Times New Roman" w:hAnsi="Times New Roman" w:cs="Times New Roman"/>
                <w:b/>
                <w:sz w:val="22"/>
                <w:szCs w:val="22"/>
              </w:rPr>
              <w:t>Charge</w:t>
            </w: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Arsenic</w:t>
            </w:r>
          </w:p>
        </w:tc>
        <w:tc>
          <w:tcPr>
            <w:tcW w:w="2970" w:type="dxa"/>
          </w:tcPr>
          <w:p w:rsidR="008B314A" w:rsidRPr="008B314A" w:rsidRDefault="008B314A" w:rsidP="008B314A">
            <w:pPr>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Chromium</w:t>
            </w:r>
          </w:p>
        </w:tc>
        <w:tc>
          <w:tcPr>
            <w:tcW w:w="2970" w:type="dxa"/>
          </w:tcPr>
          <w:p w:rsidR="008B314A" w:rsidRPr="008B314A" w:rsidRDefault="008B314A" w:rsidP="008B314A">
            <w:pPr>
              <w:ind w:hanging="749"/>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Lead</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Selenium</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Silver</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Cadmium</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Copper</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Molybdenum</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Nickel</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Zinc</w:t>
            </w:r>
          </w:p>
        </w:tc>
        <w:tc>
          <w:tcPr>
            <w:tcW w:w="2970" w:type="dxa"/>
          </w:tcPr>
          <w:p w:rsidR="008B314A" w:rsidRPr="008B314A" w:rsidRDefault="008B314A" w:rsidP="008B314A">
            <w:pPr>
              <w:ind w:hanging="720"/>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Mercury</w:t>
            </w:r>
          </w:p>
        </w:tc>
        <w:tc>
          <w:tcPr>
            <w:tcW w:w="2970" w:type="dxa"/>
          </w:tcPr>
          <w:p w:rsidR="008B314A" w:rsidRPr="008B314A" w:rsidRDefault="008B314A" w:rsidP="008B314A">
            <w:pPr>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 xml:space="preserve">Total </w:t>
            </w:r>
            <w:proofErr w:type="spellStart"/>
            <w:r w:rsidRPr="008B314A">
              <w:rPr>
                <w:rFonts w:ascii="Times New Roman" w:hAnsi="Times New Roman" w:cs="Times New Roman"/>
                <w:sz w:val="22"/>
                <w:szCs w:val="22"/>
              </w:rPr>
              <w:t>Phenolics</w:t>
            </w:r>
            <w:proofErr w:type="spellEnd"/>
          </w:p>
        </w:tc>
        <w:tc>
          <w:tcPr>
            <w:tcW w:w="2970" w:type="dxa"/>
          </w:tcPr>
          <w:p w:rsidR="008B314A" w:rsidRPr="008B314A" w:rsidRDefault="008B314A" w:rsidP="008B314A">
            <w:pPr>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Total Cyanide</w:t>
            </w:r>
          </w:p>
        </w:tc>
        <w:tc>
          <w:tcPr>
            <w:tcW w:w="2970" w:type="dxa"/>
          </w:tcPr>
          <w:p w:rsidR="008B314A" w:rsidRPr="008B314A" w:rsidRDefault="008B314A" w:rsidP="008B314A">
            <w:pPr>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Oil &amp; Grease</w:t>
            </w:r>
          </w:p>
        </w:tc>
        <w:tc>
          <w:tcPr>
            <w:tcW w:w="2970" w:type="dxa"/>
          </w:tcPr>
          <w:p w:rsidR="008B314A" w:rsidRPr="008B314A" w:rsidRDefault="008B314A" w:rsidP="008B314A">
            <w:pPr>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 xml:space="preserve">Volatiles </w:t>
            </w:r>
          </w:p>
        </w:tc>
        <w:tc>
          <w:tcPr>
            <w:tcW w:w="2970" w:type="dxa"/>
          </w:tcPr>
          <w:p w:rsidR="008B314A" w:rsidRPr="008B314A" w:rsidRDefault="008B314A" w:rsidP="008B314A">
            <w:pPr>
              <w:rPr>
                <w:rFonts w:ascii="Times New Roman" w:hAnsi="Times New Roman" w:cs="Times New Roman"/>
                <w:sz w:val="22"/>
                <w:szCs w:val="22"/>
              </w:rPr>
            </w:pPr>
          </w:p>
        </w:tc>
        <w:tc>
          <w:tcPr>
            <w:tcW w:w="2790" w:type="dxa"/>
          </w:tcPr>
          <w:p w:rsidR="008B314A" w:rsidRPr="008B314A" w:rsidRDefault="008B314A" w:rsidP="008B314A">
            <w:pPr>
              <w:jc w:val="cente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 xml:space="preserve">Energy </w:t>
            </w:r>
            <w:r w:rsidRPr="00646758">
              <w:rPr>
                <w:rFonts w:ascii="Times New Roman" w:hAnsi="Times New Roman" w:cs="Times New Roman"/>
                <w:sz w:val="22"/>
                <w:szCs w:val="22"/>
              </w:rPr>
              <w:t>S</w:t>
            </w:r>
            <w:r w:rsidRPr="008B314A">
              <w:rPr>
                <w:rFonts w:ascii="Times New Roman" w:hAnsi="Times New Roman" w:cs="Times New Roman"/>
                <w:sz w:val="22"/>
                <w:szCs w:val="22"/>
              </w:rPr>
              <w:t>urcharge</w:t>
            </w:r>
          </w:p>
        </w:tc>
        <w:tc>
          <w:tcPr>
            <w:tcW w:w="2970" w:type="dxa"/>
          </w:tcPr>
          <w:p w:rsidR="008B314A" w:rsidRPr="008B314A" w:rsidRDefault="008B314A" w:rsidP="008B314A">
            <w:pPr>
              <w:jc w:val="center"/>
              <w:rPr>
                <w:rFonts w:ascii="Times New Roman" w:hAnsi="Times New Roman" w:cs="Times New Roman"/>
                <w:sz w:val="22"/>
                <w:szCs w:val="22"/>
              </w:rPr>
            </w:pPr>
          </w:p>
        </w:tc>
        <w:tc>
          <w:tcPr>
            <w:tcW w:w="2790" w:type="dxa"/>
          </w:tcPr>
          <w:p w:rsidR="008B314A" w:rsidRPr="008B314A" w:rsidRDefault="008B314A" w:rsidP="008B314A">
            <w:pP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Sample Disposal Fee</w:t>
            </w:r>
          </w:p>
        </w:tc>
        <w:tc>
          <w:tcPr>
            <w:tcW w:w="2970" w:type="dxa"/>
          </w:tcPr>
          <w:p w:rsidR="008B314A" w:rsidRPr="008B314A" w:rsidRDefault="008B314A" w:rsidP="008B314A">
            <w:pPr>
              <w:jc w:val="center"/>
              <w:rPr>
                <w:rFonts w:ascii="Times New Roman" w:hAnsi="Times New Roman" w:cs="Times New Roman"/>
                <w:sz w:val="22"/>
                <w:szCs w:val="22"/>
              </w:rPr>
            </w:pPr>
          </w:p>
        </w:tc>
        <w:tc>
          <w:tcPr>
            <w:tcW w:w="2790" w:type="dxa"/>
          </w:tcPr>
          <w:p w:rsidR="008B314A" w:rsidRPr="008B314A" w:rsidRDefault="008B314A" w:rsidP="008B314A">
            <w:pP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 xml:space="preserve">Total Solid Dry Weight </w:t>
            </w:r>
          </w:p>
        </w:tc>
        <w:tc>
          <w:tcPr>
            <w:tcW w:w="2970" w:type="dxa"/>
          </w:tcPr>
          <w:p w:rsidR="008B314A" w:rsidRPr="008B314A" w:rsidRDefault="008B314A" w:rsidP="008B314A">
            <w:pPr>
              <w:jc w:val="center"/>
              <w:rPr>
                <w:rFonts w:ascii="Times New Roman" w:hAnsi="Times New Roman" w:cs="Times New Roman"/>
                <w:sz w:val="22"/>
                <w:szCs w:val="22"/>
              </w:rPr>
            </w:pPr>
          </w:p>
        </w:tc>
        <w:tc>
          <w:tcPr>
            <w:tcW w:w="2790" w:type="dxa"/>
          </w:tcPr>
          <w:p w:rsidR="008B314A" w:rsidRPr="008B314A" w:rsidRDefault="008B314A" w:rsidP="008B314A">
            <w:pP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 xml:space="preserve">Standard Turnaround </w:t>
            </w:r>
          </w:p>
        </w:tc>
        <w:tc>
          <w:tcPr>
            <w:tcW w:w="2970" w:type="dxa"/>
          </w:tcPr>
          <w:p w:rsidR="008B314A" w:rsidRPr="008B314A" w:rsidRDefault="008B314A" w:rsidP="008B314A">
            <w:pPr>
              <w:jc w:val="center"/>
              <w:rPr>
                <w:rFonts w:ascii="Times New Roman" w:hAnsi="Times New Roman" w:cs="Times New Roman"/>
                <w:sz w:val="22"/>
                <w:szCs w:val="22"/>
              </w:rPr>
            </w:pPr>
          </w:p>
        </w:tc>
        <w:tc>
          <w:tcPr>
            <w:tcW w:w="2790" w:type="dxa"/>
          </w:tcPr>
          <w:p w:rsidR="008B314A" w:rsidRPr="008B314A" w:rsidRDefault="008B314A" w:rsidP="008B314A">
            <w:pP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 xml:space="preserve">Minimum Charge </w:t>
            </w:r>
          </w:p>
        </w:tc>
        <w:tc>
          <w:tcPr>
            <w:tcW w:w="2970" w:type="dxa"/>
          </w:tcPr>
          <w:p w:rsidR="008B314A" w:rsidRPr="008B314A" w:rsidRDefault="008B314A" w:rsidP="008B314A">
            <w:pPr>
              <w:jc w:val="center"/>
              <w:rPr>
                <w:rFonts w:ascii="Times New Roman" w:hAnsi="Times New Roman" w:cs="Times New Roman"/>
                <w:sz w:val="22"/>
                <w:szCs w:val="22"/>
              </w:rPr>
            </w:pPr>
          </w:p>
        </w:tc>
        <w:tc>
          <w:tcPr>
            <w:tcW w:w="2790" w:type="dxa"/>
          </w:tcPr>
          <w:p w:rsidR="008B314A" w:rsidRPr="008B314A" w:rsidRDefault="008B314A" w:rsidP="008B314A">
            <w:pPr>
              <w:rPr>
                <w:rFonts w:ascii="Times New Roman" w:hAnsi="Times New Roman" w:cs="Times New Roman"/>
                <w:sz w:val="22"/>
                <w:szCs w:val="22"/>
              </w:rPr>
            </w:pPr>
          </w:p>
        </w:tc>
      </w:tr>
      <w:tr w:rsidR="008B314A" w:rsidRPr="00646758" w:rsidTr="008B314A">
        <w:trPr>
          <w:trHeight w:val="314"/>
        </w:trPr>
        <w:tc>
          <w:tcPr>
            <w:tcW w:w="2335" w:type="dxa"/>
          </w:tcPr>
          <w:p w:rsidR="008B314A" w:rsidRPr="008B314A" w:rsidRDefault="008B314A" w:rsidP="008B314A">
            <w:pPr>
              <w:ind w:left="360"/>
              <w:rPr>
                <w:rFonts w:ascii="Times New Roman" w:hAnsi="Times New Roman" w:cs="Times New Roman"/>
                <w:sz w:val="22"/>
                <w:szCs w:val="22"/>
              </w:rPr>
            </w:pPr>
            <w:r w:rsidRPr="008B314A">
              <w:rPr>
                <w:rFonts w:ascii="Times New Roman" w:hAnsi="Times New Roman" w:cs="Times New Roman"/>
                <w:sz w:val="22"/>
                <w:szCs w:val="22"/>
              </w:rPr>
              <w:t>Shipping</w:t>
            </w:r>
          </w:p>
        </w:tc>
        <w:tc>
          <w:tcPr>
            <w:tcW w:w="2970" w:type="dxa"/>
          </w:tcPr>
          <w:p w:rsidR="008B314A" w:rsidRPr="008B314A" w:rsidRDefault="008B314A" w:rsidP="008B314A">
            <w:pPr>
              <w:jc w:val="center"/>
              <w:rPr>
                <w:rFonts w:ascii="Times New Roman" w:hAnsi="Times New Roman" w:cs="Times New Roman"/>
                <w:sz w:val="22"/>
                <w:szCs w:val="22"/>
              </w:rPr>
            </w:pPr>
          </w:p>
        </w:tc>
        <w:tc>
          <w:tcPr>
            <w:tcW w:w="2790" w:type="dxa"/>
          </w:tcPr>
          <w:p w:rsidR="008B314A" w:rsidRPr="008B314A" w:rsidRDefault="008B314A" w:rsidP="008B314A">
            <w:pPr>
              <w:rPr>
                <w:rFonts w:ascii="Times New Roman" w:hAnsi="Times New Roman" w:cs="Times New Roman"/>
                <w:sz w:val="22"/>
                <w:szCs w:val="22"/>
              </w:rPr>
            </w:pPr>
          </w:p>
        </w:tc>
      </w:tr>
    </w:tbl>
    <w:p w:rsidR="008B314A" w:rsidRDefault="008B314A" w:rsidP="008B314A">
      <w:pPr>
        <w:pStyle w:val="Subtitle"/>
        <w:spacing w:after="120"/>
        <w:jc w:val="both"/>
        <w:rPr>
          <w:b w:val="0"/>
        </w:rPr>
      </w:pPr>
    </w:p>
    <w:p w:rsidR="007D3AA7" w:rsidRDefault="007D3AA7" w:rsidP="007D3AA7">
      <w:pPr>
        <w:pStyle w:val="PlainText"/>
        <w:jc w:val="center"/>
        <w:rPr>
          <w:rFonts w:ascii="Times New Roman" w:hAnsi="Times New Roman"/>
          <w:sz w:val="22"/>
          <w:szCs w:val="22"/>
        </w:rPr>
      </w:pPr>
    </w:p>
    <w:p w:rsidR="007D3AA7" w:rsidRDefault="007D3AA7" w:rsidP="007D3AA7">
      <w:pPr>
        <w:pStyle w:val="PlainText"/>
        <w:jc w:val="center"/>
        <w:rPr>
          <w:rFonts w:ascii="Times New Roman" w:hAnsi="Times New Roman"/>
          <w:sz w:val="22"/>
          <w:szCs w:val="22"/>
        </w:rPr>
      </w:pPr>
    </w:p>
    <w:p w:rsidR="007D3AA7" w:rsidRPr="007D3AA7" w:rsidRDefault="007D3AA7" w:rsidP="007D3AA7">
      <w:pPr>
        <w:pStyle w:val="PlainText"/>
        <w:jc w:val="center"/>
        <w:rPr>
          <w:rFonts w:ascii="Times New Roman" w:hAnsi="Times New Roman"/>
          <w:sz w:val="22"/>
          <w:szCs w:val="22"/>
        </w:rPr>
      </w:pPr>
      <w:r w:rsidRPr="007D3AA7">
        <w:rPr>
          <w:rFonts w:ascii="Times New Roman" w:hAnsi="Times New Roman"/>
          <w:sz w:val="22"/>
          <w:szCs w:val="22"/>
        </w:rPr>
        <w:t xml:space="preserve">Bid </w:t>
      </w:r>
      <w:proofErr w:type="gramStart"/>
      <w:r w:rsidRPr="007D3AA7">
        <w:rPr>
          <w:rFonts w:ascii="Times New Roman" w:hAnsi="Times New Roman"/>
          <w:sz w:val="22"/>
          <w:szCs w:val="22"/>
        </w:rPr>
        <w:t>Sheet  for</w:t>
      </w:r>
      <w:proofErr w:type="gramEnd"/>
      <w:r w:rsidRPr="007D3AA7">
        <w:rPr>
          <w:rFonts w:ascii="Times New Roman" w:hAnsi="Times New Roman"/>
          <w:sz w:val="22"/>
          <w:szCs w:val="22"/>
        </w:rPr>
        <w:t xml:space="preserve"> City of Columbia</w:t>
      </w:r>
    </w:p>
    <w:p w:rsidR="007D3AA7" w:rsidRPr="007D3AA7" w:rsidRDefault="007D3AA7" w:rsidP="007D3AA7">
      <w:pPr>
        <w:pStyle w:val="Heading1"/>
        <w:jc w:val="center"/>
        <w:rPr>
          <w:bCs w:val="0"/>
          <w:sz w:val="22"/>
          <w:szCs w:val="22"/>
        </w:rPr>
      </w:pPr>
      <w:r w:rsidRPr="007D3AA7">
        <w:rPr>
          <w:bCs w:val="0"/>
          <w:sz w:val="22"/>
          <w:szCs w:val="22"/>
        </w:rPr>
        <w:t>Invitation to Bid – Environmental Laboratory Services</w:t>
      </w:r>
    </w:p>
    <w:p w:rsidR="007D3AA7" w:rsidRPr="007D3AA7" w:rsidRDefault="007D3AA7" w:rsidP="007D3AA7">
      <w:pPr>
        <w:pStyle w:val="Heading1"/>
        <w:jc w:val="center"/>
        <w:rPr>
          <w:bCs w:val="0"/>
          <w:sz w:val="22"/>
          <w:szCs w:val="22"/>
        </w:rPr>
      </w:pPr>
      <w:r w:rsidRPr="007D3AA7">
        <w:rPr>
          <w:bCs w:val="0"/>
          <w:sz w:val="22"/>
          <w:szCs w:val="22"/>
        </w:rPr>
        <w:t>Solicitation # 412-0317-35</w:t>
      </w:r>
    </w:p>
    <w:p w:rsidR="007D3AA7" w:rsidRPr="007D3AA7" w:rsidRDefault="007D3AA7" w:rsidP="007D3AA7">
      <w:pPr>
        <w:jc w:val="center"/>
        <w:rPr>
          <w:sz w:val="22"/>
          <w:szCs w:val="22"/>
        </w:rPr>
      </w:pPr>
      <w:r>
        <w:rPr>
          <w:sz w:val="22"/>
          <w:szCs w:val="22"/>
        </w:rPr>
        <w:t>Page 2 o</w:t>
      </w:r>
      <w:r w:rsidRPr="007D3AA7">
        <w:rPr>
          <w:sz w:val="22"/>
          <w:szCs w:val="22"/>
        </w:rPr>
        <w:t xml:space="preserve">f 2 </w:t>
      </w:r>
    </w:p>
    <w:p w:rsidR="007D3AA7" w:rsidRDefault="007D3AA7" w:rsidP="008B314A">
      <w:pPr>
        <w:pStyle w:val="Subtitle"/>
        <w:spacing w:after="120"/>
        <w:jc w:val="both"/>
        <w:rPr>
          <w:b w:val="0"/>
        </w:rPr>
      </w:pPr>
    </w:p>
    <w:p w:rsidR="008B314A" w:rsidRPr="00C976E9" w:rsidRDefault="008B314A" w:rsidP="00F017BF">
      <w:pPr>
        <w:pStyle w:val="Subtitle"/>
        <w:numPr>
          <w:ilvl w:val="0"/>
          <w:numId w:val="37"/>
        </w:numPr>
        <w:spacing w:after="120"/>
        <w:jc w:val="both"/>
        <w:rPr>
          <w:b w:val="0"/>
          <w:sz w:val="22"/>
          <w:szCs w:val="22"/>
        </w:rPr>
      </w:pPr>
      <w:r w:rsidRPr="00C976E9">
        <w:rPr>
          <w:b w:val="0"/>
          <w:sz w:val="22"/>
          <w:szCs w:val="22"/>
        </w:rPr>
        <w:t>Other Charges – Please list on a separate sheet and attach to the bid, any other charges that will or may be charged as a result of performing the test listed above or may be required</w:t>
      </w:r>
      <w:r w:rsidR="00F01927">
        <w:rPr>
          <w:b w:val="0"/>
          <w:sz w:val="22"/>
          <w:szCs w:val="22"/>
        </w:rPr>
        <w:t xml:space="preserve">/ offered </w:t>
      </w:r>
      <w:r w:rsidRPr="00C976E9">
        <w:rPr>
          <w:b w:val="0"/>
          <w:sz w:val="22"/>
          <w:szCs w:val="22"/>
        </w:rPr>
        <w:t>for similar wastewater treatment application.</w:t>
      </w:r>
    </w:p>
    <w:p w:rsidR="00C976E9" w:rsidRDefault="00C976E9" w:rsidP="00F017BF">
      <w:pPr>
        <w:pStyle w:val="Subtitle"/>
        <w:spacing w:after="120"/>
        <w:jc w:val="both"/>
        <w:rPr>
          <w:b w:val="0"/>
        </w:rPr>
      </w:pPr>
    </w:p>
    <w:p w:rsidR="00C976E9" w:rsidRPr="00646758" w:rsidRDefault="00C976E9" w:rsidP="00C976E9">
      <w:pPr>
        <w:pStyle w:val="PlainText"/>
        <w:rPr>
          <w:rFonts w:ascii="Times New Roman" w:hAnsi="Times New Roman"/>
          <w:b w:val="0"/>
          <w:bCs/>
          <w:sz w:val="22"/>
          <w:szCs w:val="22"/>
        </w:rPr>
      </w:pPr>
      <w:r w:rsidRPr="00646758">
        <w:rPr>
          <w:rFonts w:ascii="Times New Roman" w:hAnsi="Times New Roman"/>
          <w:b w:val="0"/>
          <w:bCs/>
          <w:sz w:val="22"/>
          <w:szCs w:val="22"/>
        </w:rPr>
        <w:t>This bid is furnished in response to the solicitation 412-0317-35 and together with all submissions thereto constitutes my full and complete response. The offer to provide the required services complies with all specifications and requirements contained in the invitation to bid unless otherwise specifically disclosed and attached to the bid submitted. The unit prices shall be firm for the life of the agreement and any extensions thereof unless otherwise noted and disclosed in the bid.</w:t>
      </w:r>
    </w:p>
    <w:p w:rsidR="00C976E9" w:rsidRPr="00646758" w:rsidRDefault="00C976E9" w:rsidP="00C976E9">
      <w:pPr>
        <w:rPr>
          <w:sz w:val="22"/>
          <w:szCs w:val="22"/>
        </w:rPr>
      </w:pPr>
    </w:p>
    <w:p w:rsidR="00C976E9" w:rsidRPr="00646758" w:rsidRDefault="00C976E9" w:rsidP="00C976E9">
      <w:pPr>
        <w:rPr>
          <w:sz w:val="22"/>
          <w:szCs w:val="22"/>
        </w:rPr>
      </w:pPr>
      <w:r w:rsidRPr="00646758">
        <w:rPr>
          <w:sz w:val="22"/>
          <w:szCs w:val="22"/>
        </w:rPr>
        <w:t>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C976E9" w:rsidRPr="00646758" w:rsidRDefault="00C976E9" w:rsidP="00C976E9">
      <w:pPr>
        <w:rPr>
          <w:bCs/>
          <w:sz w:val="22"/>
          <w:szCs w:val="22"/>
        </w:rPr>
      </w:pPr>
    </w:p>
    <w:p w:rsidR="00C976E9" w:rsidRPr="00646758" w:rsidRDefault="00C976E9" w:rsidP="00C976E9">
      <w:pPr>
        <w:rPr>
          <w:b/>
          <w:bCs/>
          <w:sz w:val="22"/>
          <w:szCs w:val="22"/>
        </w:rPr>
      </w:pPr>
      <w:r w:rsidRPr="00646758">
        <w:rPr>
          <w:bCs/>
          <w:sz w:val="22"/>
          <w:szCs w:val="22"/>
        </w:rPr>
        <w:t>Vendor Name</w:t>
      </w:r>
      <w:r w:rsidRPr="00646758">
        <w:rPr>
          <w:b/>
          <w:bCs/>
          <w:sz w:val="22"/>
          <w:szCs w:val="22"/>
        </w:rPr>
        <w:t>: ________________________________________________________________________</w:t>
      </w:r>
    </w:p>
    <w:p w:rsidR="00C976E9" w:rsidRPr="00646758" w:rsidRDefault="00C976E9" w:rsidP="00C976E9">
      <w:pPr>
        <w:rPr>
          <w:b/>
          <w:bCs/>
          <w:sz w:val="22"/>
          <w:szCs w:val="22"/>
        </w:rPr>
      </w:pPr>
    </w:p>
    <w:p w:rsidR="00C976E9" w:rsidRPr="00646758" w:rsidRDefault="00C976E9" w:rsidP="00C976E9">
      <w:pPr>
        <w:rPr>
          <w:bCs/>
          <w:sz w:val="22"/>
          <w:szCs w:val="22"/>
        </w:rPr>
      </w:pPr>
      <w:r w:rsidRPr="00646758">
        <w:rPr>
          <w:bCs/>
          <w:sz w:val="22"/>
          <w:szCs w:val="22"/>
        </w:rPr>
        <w:t>Signature: _________________________________________   Title _____________________________</w:t>
      </w:r>
    </w:p>
    <w:p w:rsidR="00C976E9" w:rsidRPr="00646758" w:rsidRDefault="00C976E9" w:rsidP="00C976E9">
      <w:pPr>
        <w:rPr>
          <w:bCs/>
          <w:sz w:val="22"/>
          <w:szCs w:val="22"/>
        </w:rPr>
      </w:pPr>
    </w:p>
    <w:p w:rsidR="00C976E9" w:rsidRPr="00646758" w:rsidRDefault="00C976E9" w:rsidP="00C976E9">
      <w:pPr>
        <w:rPr>
          <w:sz w:val="22"/>
          <w:szCs w:val="22"/>
        </w:rPr>
      </w:pPr>
      <w:proofErr w:type="gramStart"/>
      <w:r w:rsidRPr="00646758">
        <w:rPr>
          <w:sz w:val="22"/>
          <w:szCs w:val="22"/>
        </w:rPr>
        <w:t>Phone :_</w:t>
      </w:r>
      <w:proofErr w:type="gramEnd"/>
      <w:r w:rsidRPr="00646758">
        <w:rPr>
          <w:sz w:val="22"/>
          <w:szCs w:val="22"/>
        </w:rPr>
        <w:t>________________________  Fax: _______________________ Date: ____________________</w:t>
      </w:r>
    </w:p>
    <w:p w:rsidR="00F017BF" w:rsidRPr="00646758" w:rsidRDefault="00F017BF" w:rsidP="00F017BF">
      <w:pPr>
        <w:pStyle w:val="Subtitle"/>
        <w:spacing w:after="120"/>
        <w:jc w:val="both"/>
        <w:rPr>
          <w:b w:val="0"/>
          <w:sz w:val="22"/>
          <w:szCs w:val="22"/>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p>
    <w:p w:rsidR="00646758" w:rsidRDefault="00646758" w:rsidP="00646758">
      <w:pPr>
        <w:ind w:left="-720"/>
        <w:jc w:val="center"/>
        <w:rPr>
          <w:rFonts w:ascii="Calibri" w:hAnsi="Calibri"/>
          <w:b/>
        </w:rPr>
      </w:pPr>
      <w:r w:rsidRPr="00F34FC1">
        <w:rPr>
          <w:rFonts w:ascii="Calibri" w:hAnsi="Calibri"/>
          <w:b/>
        </w:rPr>
        <w:t>IRAN DIVESTMENT ACT</w:t>
      </w:r>
      <w:r>
        <w:rPr>
          <w:rFonts w:ascii="Calibri" w:hAnsi="Calibri"/>
          <w:b/>
        </w:rPr>
        <w:t xml:space="preserve"> DISCLOSURE </w:t>
      </w:r>
    </w:p>
    <w:p w:rsidR="00646758" w:rsidRPr="00F34FC1" w:rsidRDefault="00646758" w:rsidP="00646758">
      <w:pPr>
        <w:ind w:left="-720"/>
        <w:jc w:val="center"/>
        <w:rPr>
          <w:rFonts w:ascii="Calibri" w:hAnsi="Calibri"/>
          <w:b/>
        </w:rPr>
      </w:pPr>
    </w:p>
    <w:p w:rsidR="00646758" w:rsidRPr="00FF5F93" w:rsidRDefault="00646758" w:rsidP="00646758">
      <w:pPr>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r>
      <w:r>
        <w:rPr>
          <w:rFonts w:asciiTheme="minorHAnsi" w:hAnsiTheme="minorHAnsi"/>
          <w:color w:val="333333"/>
          <w:sz w:val="20"/>
          <w:szCs w:val="20"/>
        </w:rPr>
        <w:tab/>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Pr>
          <w:rFonts w:asciiTheme="minorHAnsi" w:hAnsiTheme="minorHAnsi"/>
          <w:color w:val="333333"/>
          <w:sz w:val="20"/>
          <w:szCs w:val="20"/>
        </w:rPr>
        <w:t xml:space="preserve">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646758" w:rsidRPr="00FF5F93" w:rsidRDefault="00646758" w:rsidP="00646758">
      <w:pPr>
        <w:ind w:left="-720"/>
        <w:rPr>
          <w:rFonts w:asciiTheme="minorHAnsi" w:hAnsiTheme="minorHAnsi"/>
          <w:b/>
          <w:sz w:val="20"/>
          <w:szCs w:val="20"/>
        </w:rPr>
      </w:pPr>
    </w:p>
    <w:p w:rsidR="00646758" w:rsidRPr="00FF5F93" w:rsidRDefault="00646758" w:rsidP="00646758">
      <w:pPr>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646758" w:rsidRPr="00141E72" w:rsidRDefault="00646758" w:rsidP="00646758">
      <w:pPr>
        <w:ind w:left="-720"/>
        <w:jc w:val="both"/>
        <w:rPr>
          <w:rFonts w:ascii="Calibri" w:hAnsi="Calibri"/>
          <w:b/>
          <w:sz w:val="20"/>
          <w:szCs w:val="20"/>
        </w:rPr>
      </w:pPr>
    </w:p>
    <w:p w:rsidR="00646758" w:rsidRDefault="00646758" w:rsidP="00646758">
      <w:pPr>
        <w:ind w:left="-720" w:firstLine="720"/>
        <w:jc w:val="both"/>
        <w:rPr>
          <w:rFonts w:ascii="Calibri" w:hAnsi="Calibri"/>
          <w:sz w:val="20"/>
          <w:szCs w:val="20"/>
        </w:rPr>
      </w:pPr>
      <w:r>
        <w:rPr>
          <w:rFonts w:ascii="Calibri" w:hAnsi="Calibri"/>
          <w:sz w:val="20"/>
          <w:szCs w:val="20"/>
        </w:rPr>
        <w:t>Vendor Name: ________________________________________________________________________________</w:t>
      </w:r>
    </w:p>
    <w:p w:rsidR="00646758" w:rsidRDefault="00646758" w:rsidP="00646758">
      <w:pPr>
        <w:ind w:left="-720"/>
        <w:jc w:val="both"/>
        <w:rPr>
          <w:rFonts w:ascii="Calibri" w:hAnsi="Calibri"/>
          <w:sz w:val="20"/>
          <w:szCs w:val="20"/>
        </w:rPr>
      </w:pPr>
    </w:p>
    <w:p w:rsidR="00646758" w:rsidRDefault="00646758" w:rsidP="00646758">
      <w:pPr>
        <w:ind w:left="-720" w:firstLine="720"/>
        <w:jc w:val="both"/>
        <w:rPr>
          <w:rFonts w:ascii="Calibri" w:hAnsi="Calibri"/>
          <w:sz w:val="20"/>
          <w:szCs w:val="20"/>
        </w:rPr>
      </w:pPr>
      <w:r>
        <w:rPr>
          <w:rFonts w:ascii="Calibri" w:hAnsi="Calibri"/>
          <w:sz w:val="20"/>
          <w:szCs w:val="20"/>
        </w:rPr>
        <w:t>Vendor Signature: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8B314A" w:rsidRPr="005B2D03" w:rsidRDefault="008B314A" w:rsidP="00646758">
      <w:pPr>
        <w:pStyle w:val="Subtitle"/>
        <w:spacing w:after="120"/>
        <w:jc w:val="both"/>
        <w:rPr>
          <w:b w:val="0"/>
        </w:rPr>
      </w:pPr>
    </w:p>
    <w:sectPr w:rsidR="008B314A" w:rsidRPr="005B2D03" w:rsidSect="0064675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6D00"/>
    <w:multiLevelType w:val="hybridMultilevel"/>
    <w:tmpl w:val="D4262C8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3F1E91"/>
    <w:multiLevelType w:val="multilevel"/>
    <w:tmpl w:val="AC221B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 w15:restartNumberingAfterBreak="0">
    <w:nsid w:val="0BEC10AB"/>
    <w:multiLevelType w:val="multilevel"/>
    <w:tmpl w:val="D3A4E2B6"/>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106280"/>
    <w:multiLevelType w:val="hybridMultilevel"/>
    <w:tmpl w:val="08AE59B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BF3CCD"/>
    <w:multiLevelType w:val="hybridMultilevel"/>
    <w:tmpl w:val="95E63A74"/>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D36C5B34">
      <w:start w:val="1"/>
      <w:numFmt w:val="decimal"/>
      <w:lvlText w:val="%3."/>
      <w:lvlJc w:val="left"/>
      <w:pPr>
        <w:tabs>
          <w:tab w:val="num" w:pos="2700"/>
        </w:tabs>
        <w:ind w:left="2700" w:hanging="360"/>
      </w:pPr>
      <w:rPr>
        <w:rFonts w:hint="default"/>
      </w:rPr>
    </w:lvl>
    <w:lvl w:ilvl="3" w:tplc="60EA5DE4">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892BA9"/>
    <w:multiLevelType w:val="multilevel"/>
    <w:tmpl w:val="F438C7A4"/>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4"/>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ED062B"/>
    <w:multiLevelType w:val="multilevel"/>
    <w:tmpl w:val="9274E80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152F641C"/>
    <w:multiLevelType w:val="multilevel"/>
    <w:tmpl w:val="F438C7A4"/>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4"/>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33154E"/>
    <w:multiLevelType w:val="multilevel"/>
    <w:tmpl w:val="2CB2FD0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8377C1"/>
    <w:multiLevelType w:val="multilevel"/>
    <w:tmpl w:val="D1B219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36AD0"/>
    <w:multiLevelType w:val="multilevel"/>
    <w:tmpl w:val="6C8464B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1E799C"/>
    <w:multiLevelType w:val="hybridMultilevel"/>
    <w:tmpl w:val="24E2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C1B6B"/>
    <w:multiLevelType w:val="hybridMultilevel"/>
    <w:tmpl w:val="C5A6192C"/>
    <w:lvl w:ilvl="0" w:tplc="D734754E">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32E83542"/>
    <w:multiLevelType w:val="hybridMultilevel"/>
    <w:tmpl w:val="D1B219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C7EBF"/>
    <w:multiLevelType w:val="hybridMultilevel"/>
    <w:tmpl w:val="65087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C5C83"/>
    <w:multiLevelType w:val="multilevel"/>
    <w:tmpl w:val="B4688F98"/>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FB671B"/>
    <w:multiLevelType w:val="multilevel"/>
    <w:tmpl w:val="35F2D476"/>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D90AD2"/>
    <w:multiLevelType w:val="singleLevel"/>
    <w:tmpl w:val="854078B8"/>
    <w:lvl w:ilvl="0">
      <w:start w:val="1"/>
      <w:numFmt w:val="upperLetter"/>
      <w:lvlText w:val="%1."/>
      <w:lvlJc w:val="left"/>
      <w:pPr>
        <w:tabs>
          <w:tab w:val="num" w:pos="360"/>
        </w:tabs>
        <w:ind w:left="360" w:hanging="360"/>
      </w:pPr>
      <w:rPr>
        <w:b w:val="0"/>
        <w:i w:val="0"/>
        <w:u w:val="none"/>
      </w:rPr>
    </w:lvl>
  </w:abstractNum>
  <w:abstractNum w:abstractNumId="18" w15:restartNumberingAfterBreak="0">
    <w:nsid w:val="3CE55B56"/>
    <w:multiLevelType w:val="multilevel"/>
    <w:tmpl w:val="9A42456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F91B82"/>
    <w:multiLevelType w:val="multilevel"/>
    <w:tmpl w:val="9A42456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DB17EE"/>
    <w:multiLevelType w:val="singleLevel"/>
    <w:tmpl w:val="03344578"/>
    <w:lvl w:ilvl="0">
      <w:start w:val="1"/>
      <w:numFmt w:val="decimal"/>
      <w:lvlText w:val="%1."/>
      <w:lvlJc w:val="left"/>
      <w:pPr>
        <w:tabs>
          <w:tab w:val="num" w:pos="360"/>
        </w:tabs>
        <w:ind w:left="360" w:hanging="360"/>
      </w:pPr>
      <w:rPr>
        <w:b w:val="0"/>
        <w:i w:val="0"/>
      </w:rPr>
    </w:lvl>
  </w:abstractNum>
  <w:abstractNum w:abstractNumId="21"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C45A8D"/>
    <w:multiLevelType w:val="multilevel"/>
    <w:tmpl w:val="2FECFA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3" w15:restartNumberingAfterBreak="0">
    <w:nsid w:val="5317680F"/>
    <w:multiLevelType w:val="hybridMultilevel"/>
    <w:tmpl w:val="AF4A4DBC"/>
    <w:lvl w:ilvl="0" w:tplc="4C00F6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3CE45D5"/>
    <w:multiLevelType w:val="multilevel"/>
    <w:tmpl w:val="4CD6033E"/>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5" w15:restartNumberingAfterBreak="0">
    <w:nsid w:val="55FA2F06"/>
    <w:multiLevelType w:val="hybridMultilevel"/>
    <w:tmpl w:val="822A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57C28"/>
    <w:multiLevelType w:val="multilevel"/>
    <w:tmpl w:val="2CB2FD0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8C1110"/>
    <w:multiLevelType w:val="multilevel"/>
    <w:tmpl w:val="ADD4538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B10B8A"/>
    <w:multiLevelType w:val="multilevel"/>
    <w:tmpl w:val="EE3628D0"/>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9" w15:restartNumberingAfterBreak="0">
    <w:nsid w:val="5F8B278A"/>
    <w:multiLevelType w:val="hybridMultilevel"/>
    <w:tmpl w:val="47DC14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40610"/>
    <w:multiLevelType w:val="multilevel"/>
    <w:tmpl w:val="EE3628D0"/>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31" w15:restartNumberingAfterBreak="0">
    <w:nsid w:val="69FA684B"/>
    <w:multiLevelType w:val="multilevel"/>
    <w:tmpl w:val="F438C7A4"/>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4"/>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990E62"/>
    <w:multiLevelType w:val="singleLevel"/>
    <w:tmpl w:val="03344578"/>
    <w:lvl w:ilvl="0">
      <w:start w:val="1"/>
      <w:numFmt w:val="decimal"/>
      <w:lvlText w:val="%1."/>
      <w:lvlJc w:val="left"/>
      <w:pPr>
        <w:tabs>
          <w:tab w:val="num" w:pos="1296"/>
        </w:tabs>
        <w:ind w:left="1296" w:hanging="360"/>
      </w:pPr>
      <w:rPr>
        <w:b w:val="0"/>
        <w:i w:val="0"/>
      </w:rPr>
    </w:lvl>
  </w:abstractNum>
  <w:abstractNum w:abstractNumId="33" w15:restartNumberingAfterBreak="0">
    <w:nsid w:val="6F50167B"/>
    <w:multiLevelType w:val="multilevel"/>
    <w:tmpl w:val="D3A4E2B6"/>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4F9427B"/>
    <w:multiLevelType w:val="hybridMultilevel"/>
    <w:tmpl w:val="73D05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94FC4"/>
    <w:multiLevelType w:val="hybridMultilevel"/>
    <w:tmpl w:val="9A42456C"/>
    <w:lvl w:ilvl="0" w:tplc="F94C8A9C">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14C87B22">
      <w:start w:val="1"/>
      <w:numFmt w:val="lowerLetter"/>
      <w:lvlText w:val="%3."/>
      <w:lvlJc w:val="left"/>
      <w:pPr>
        <w:tabs>
          <w:tab w:val="num" w:pos="1440"/>
        </w:tabs>
        <w:ind w:left="1440" w:hanging="360"/>
      </w:pPr>
      <w:rPr>
        <w:rFonts w:hint="default"/>
      </w:rPr>
    </w:lvl>
    <w:lvl w:ilvl="3" w:tplc="8CF06A94">
      <w:start w:val="1"/>
      <w:numFmt w:val="lowerLetter"/>
      <w:lvlText w:val="%4."/>
      <w:lvlJc w:val="left"/>
      <w:pPr>
        <w:tabs>
          <w:tab w:val="num" w:pos="1440"/>
        </w:tabs>
        <w:ind w:left="2160" w:hanging="864"/>
      </w:pPr>
      <w:rPr>
        <w:rFonts w:hint="default"/>
      </w:rPr>
    </w:lvl>
    <w:lvl w:ilvl="4" w:tplc="4F6C779C">
      <w:start w:val="3"/>
      <w:numFmt w:val="lowerLetter"/>
      <w:lvlText w:val="%5."/>
      <w:lvlJc w:val="left"/>
      <w:pPr>
        <w:tabs>
          <w:tab w:val="num" w:pos="1440"/>
        </w:tabs>
        <w:ind w:left="144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F8515F"/>
    <w:multiLevelType w:val="multilevel"/>
    <w:tmpl w:val="F438C7A4"/>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4"/>
      <w:numFmt w:val="lowerLetter"/>
      <w:lvlText w:val="%3."/>
      <w:lvlJc w:val="left"/>
      <w:pPr>
        <w:tabs>
          <w:tab w:val="num" w:pos="1440"/>
        </w:tabs>
        <w:ind w:left="1440" w:hanging="360"/>
      </w:pPr>
      <w:rPr>
        <w:rFonts w:hint="default"/>
      </w:rPr>
    </w:lvl>
    <w:lvl w:ilvl="3">
      <w:start w:val="1"/>
      <w:numFmt w:val="lowerLetter"/>
      <w:lvlText w:val="%4."/>
      <w:lvlJc w:val="left"/>
      <w:pPr>
        <w:tabs>
          <w:tab w:val="num" w:pos="1440"/>
        </w:tabs>
        <w:ind w:left="2160" w:hanging="864"/>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4"/>
  </w:num>
  <w:num w:numId="3">
    <w:abstractNumId w:val="29"/>
  </w:num>
  <w:num w:numId="4">
    <w:abstractNumId w:val="14"/>
  </w:num>
  <w:num w:numId="5">
    <w:abstractNumId w:val="0"/>
  </w:num>
  <w:num w:numId="6">
    <w:abstractNumId w:val="13"/>
  </w:num>
  <w:num w:numId="7">
    <w:abstractNumId w:val="9"/>
  </w:num>
  <w:num w:numId="8">
    <w:abstractNumId w:val="3"/>
  </w:num>
  <w:num w:numId="9">
    <w:abstractNumId w:val="4"/>
  </w:num>
  <w:num w:numId="10">
    <w:abstractNumId w:val="6"/>
  </w:num>
  <w:num w:numId="11">
    <w:abstractNumId w:val="22"/>
  </w:num>
  <w:num w:numId="12">
    <w:abstractNumId w:val="1"/>
  </w:num>
  <w:num w:numId="13">
    <w:abstractNumId w:val="21"/>
  </w:num>
  <w:num w:numId="14">
    <w:abstractNumId w:val="24"/>
  </w:num>
  <w:num w:numId="15">
    <w:abstractNumId w:val="35"/>
  </w:num>
  <w:num w:numId="16">
    <w:abstractNumId w:val="17"/>
  </w:num>
  <w:num w:numId="17">
    <w:abstractNumId w:val="15"/>
  </w:num>
  <w:num w:numId="18">
    <w:abstractNumId w:val="27"/>
  </w:num>
  <w:num w:numId="19">
    <w:abstractNumId w:val="10"/>
  </w:num>
  <w:num w:numId="20">
    <w:abstractNumId w:val="33"/>
  </w:num>
  <w:num w:numId="21">
    <w:abstractNumId w:val="20"/>
  </w:num>
  <w:num w:numId="22">
    <w:abstractNumId w:val="2"/>
  </w:num>
  <w:num w:numId="23">
    <w:abstractNumId w:val="26"/>
  </w:num>
  <w:num w:numId="24">
    <w:abstractNumId w:val="8"/>
  </w:num>
  <w:num w:numId="25">
    <w:abstractNumId w:val="31"/>
  </w:num>
  <w:num w:numId="26">
    <w:abstractNumId w:val="36"/>
  </w:num>
  <w:num w:numId="27">
    <w:abstractNumId w:val="7"/>
  </w:num>
  <w:num w:numId="28">
    <w:abstractNumId w:val="32"/>
  </w:num>
  <w:num w:numId="29">
    <w:abstractNumId w:val="5"/>
  </w:num>
  <w:num w:numId="30">
    <w:abstractNumId w:val="16"/>
  </w:num>
  <w:num w:numId="31">
    <w:abstractNumId w:val="18"/>
  </w:num>
  <w:num w:numId="32">
    <w:abstractNumId w:val="19"/>
  </w:num>
  <w:num w:numId="33">
    <w:abstractNumId w:val="12"/>
  </w:num>
  <w:num w:numId="34">
    <w:abstractNumId w:val="23"/>
  </w:num>
  <w:num w:numId="35">
    <w:abstractNumId w:val="30"/>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8B"/>
    <w:rsid w:val="000E4232"/>
    <w:rsid w:val="00162F87"/>
    <w:rsid w:val="0022664B"/>
    <w:rsid w:val="00232FB5"/>
    <w:rsid w:val="00307D46"/>
    <w:rsid w:val="004003F3"/>
    <w:rsid w:val="0040381E"/>
    <w:rsid w:val="00414BB5"/>
    <w:rsid w:val="00423B49"/>
    <w:rsid w:val="00435E5B"/>
    <w:rsid w:val="004C6375"/>
    <w:rsid w:val="00502B50"/>
    <w:rsid w:val="00581AF5"/>
    <w:rsid w:val="00595E1B"/>
    <w:rsid w:val="005B2D03"/>
    <w:rsid w:val="005B75E9"/>
    <w:rsid w:val="00646758"/>
    <w:rsid w:val="006677F6"/>
    <w:rsid w:val="006818EB"/>
    <w:rsid w:val="007D3AA7"/>
    <w:rsid w:val="007E1F3D"/>
    <w:rsid w:val="008B314A"/>
    <w:rsid w:val="008F538B"/>
    <w:rsid w:val="00903BC7"/>
    <w:rsid w:val="00956C1F"/>
    <w:rsid w:val="009572A4"/>
    <w:rsid w:val="00A7252E"/>
    <w:rsid w:val="00A748D9"/>
    <w:rsid w:val="00AB209D"/>
    <w:rsid w:val="00B77B5B"/>
    <w:rsid w:val="00BB39C5"/>
    <w:rsid w:val="00C360E9"/>
    <w:rsid w:val="00C976E9"/>
    <w:rsid w:val="00D21878"/>
    <w:rsid w:val="00D67A60"/>
    <w:rsid w:val="00E75596"/>
    <w:rsid w:val="00E839E2"/>
    <w:rsid w:val="00F017BF"/>
    <w:rsid w:val="00F01927"/>
    <w:rsid w:val="00F7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985525-AFC1-4204-AC32-12B701C9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5E9"/>
    <w:rPr>
      <w:sz w:val="24"/>
      <w:szCs w:val="24"/>
    </w:rPr>
  </w:style>
  <w:style w:type="paragraph" w:styleId="Heading1">
    <w:name w:val="heading 1"/>
    <w:basedOn w:val="Normal"/>
    <w:next w:val="Normal"/>
    <w:qFormat/>
    <w:rsid w:val="005B75E9"/>
    <w:pPr>
      <w:keepNext/>
      <w:outlineLvl w:val="0"/>
    </w:pPr>
    <w:rPr>
      <w:b/>
      <w:bCs/>
    </w:rPr>
  </w:style>
  <w:style w:type="paragraph" w:styleId="Heading2">
    <w:name w:val="heading 2"/>
    <w:basedOn w:val="Normal"/>
    <w:next w:val="Normal"/>
    <w:qFormat/>
    <w:rsid w:val="005B75E9"/>
    <w:pPr>
      <w:keepNext/>
      <w:outlineLvl w:val="1"/>
    </w:pPr>
    <w:rPr>
      <w:b/>
      <w:bCs/>
      <w:sz w:val="20"/>
    </w:rPr>
  </w:style>
  <w:style w:type="paragraph" w:styleId="Heading3">
    <w:name w:val="heading 3"/>
    <w:basedOn w:val="Normal"/>
    <w:next w:val="Normal"/>
    <w:qFormat/>
    <w:rsid w:val="005B75E9"/>
    <w:pPr>
      <w:keepNext/>
      <w:jc w:val="center"/>
      <w:outlineLvl w:val="2"/>
    </w:pPr>
    <w:rPr>
      <w:b/>
      <w:color w:val="000000"/>
      <w:sz w:val="22"/>
    </w:rPr>
  </w:style>
  <w:style w:type="paragraph" w:styleId="Heading4">
    <w:name w:val="heading 4"/>
    <w:basedOn w:val="Normal"/>
    <w:next w:val="Normal"/>
    <w:qFormat/>
    <w:rsid w:val="005B75E9"/>
    <w:pPr>
      <w:keepNext/>
      <w:jc w:val="center"/>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B75E9"/>
    <w:pPr>
      <w:spacing w:before="100" w:beforeAutospacing="1" w:after="100" w:afterAutospacing="1"/>
    </w:pPr>
  </w:style>
  <w:style w:type="paragraph" w:styleId="BodyTextIndent">
    <w:name w:val="Body Text Indent"/>
    <w:basedOn w:val="Normal"/>
    <w:rsid w:val="005B75E9"/>
    <w:pPr>
      <w:ind w:left="417"/>
    </w:pPr>
  </w:style>
  <w:style w:type="character" w:styleId="Hyperlink">
    <w:name w:val="Hyperlink"/>
    <w:basedOn w:val="DefaultParagraphFont"/>
    <w:rsid w:val="005B75E9"/>
    <w:rPr>
      <w:color w:val="0000FF"/>
      <w:u w:val="single"/>
    </w:rPr>
  </w:style>
  <w:style w:type="paragraph" w:styleId="BodyTextIndent2">
    <w:name w:val="Body Text Indent 2"/>
    <w:basedOn w:val="Normal"/>
    <w:rsid w:val="005B75E9"/>
    <w:pPr>
      <w:ind w:left="1800" w:hanging="360"/>
    </w:pPr>
    <w:rPr>
      <w:sz w:val="22"/>
      <w:szCs w:val="22"/>
    </w:rPr>
  </w:style>
  <w:style w:type="character" w:styleId="FollowedHyperlink">
    <w:name w:val="FollowedHyperlink"/>
    <w:basedOn w:val="DefaultParagraphFont"/>
    <w:rsid w:val="005B75E9"/>
    <w:rPr>
      <w:color w:val="800080"/>
      <w:u w:val="single"/>
    </w:rPr>
  </w:style>
  <w:style w:type="paragraph" w:styleId="Subtitle">
    <w:name w:val="Subtitle"/>
    <w:basedOn w:val="Normal"/>
    <w:qFormat/>
    <w:rsid w:val="008F538B"/>
    <w:pPr>
      <w:jc w:val="center"/>
    </w:pPr>
    <w:rPr>
      <w:b/>
      <w:szCs w:val="20"/>
    </w:rPr>
  </w:style>
  <w:style w:type="paragraph" w:styleId="MessageHeader">
    <w:name w:val="Message Header"/>
    <w:basedOn w:val="BodyText"/>
    <w:rsid w:val="00162F87"/>
    <w:pPr>
      <w:keepLines/>
      <w:tabs>
        <w:tab w:val="left" w:pos="720"/>
      </w:tabs>
      <w:spacing w:line="180" w:lineRule="atLeast"/>
      <w:ind w:left="720" w:hanging="720"/>
    </w:pPr>
    <w:rPr>
      <w:rFonts w:ascii="Arial" w:hAnsi="Arial"/>
      <w:spacing w:val="-5"/>
      <w:sz w:val="20"/>
      <w:szCs w:val="20"/>
    </w:rPr>
  </w:style>
  <w:style w:type="paragraph" w:styleId="BodyText">
    <w:name w:val="Body Text"/>
    <w:basedOn w:val="Normal"/>
    <w:rsid w:val="00162F87"/>
    <w:pPr>
      <w:spacing w:after="120"/>
    </w:pPr>
  </w:style>
  <w:style w:type="paragraph" w:styleId="BalloonText">
    <w:name w:val="Balloon Text"/>
    <w:basedOn w:val="Normal"/>
    <w:link w:val="BalloonTextChar"/>
    <w:rsid w:val="00232FB5"/>
    <w:rPr>
      <w:rFonts w:ascii="Tahoma" w:hAnsi="Tahoma" w:cs="Tahoma"/>
      <w:sz w:val="16"/>
      <w:szCs w:val="16"/>
    </w:rPr>
  </w:style>
  <w:style w:type="character" w:customStyle="1" w:styleId="BalloonTextChar">
    <w:name w:val="Balloon Text Char"/>
    <w:basedOn w:val="DefaultParagraphFont"/>
    <w:link w:val="BalloonText"/>
    <w:rsid w:val="00232FB5"/>
    <w:rPr>
      <w:rFonts w:ascii="Tahoma" w:hAnsi="Tahoma" w:cs="Tahoma"/>
      <w:sz w:val="16"/>
      <w:szCs w:val="16"/>
    </w:rPr>
  </w:style>
  <w:style w:type="table" w:styleId="TableGrid">
    <w:name w:val="Table Grid"/>
    <w:basedOn w:val="TableNormal"/>
    <w:uiPriority w:val="59"/>
    <w:rsid w:val="008B314A"/>
    <w:pPr>
      <w:ind w:left="72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976E9"/>
    <w:rPr>
      <w:rFonts w:ascii="Arial" w:hAnsi="Arial"/>
      <w:b/>
      <w:sz w:val="20"/>
      <w:szCs w:val="28"/>
    </w:rPr>
  </w:style>
  <w:style w:type="character" w:customStyle="1" w:styleId="PlainTextChar">
    <w:name w:val="Plain Text Char"/>
    <w:basedOn w:val="DefaultParagraphFont"/>
    <w:link w:val="PlainText"/>
    <w:rsid w:val="00C976E9"/>
    <w:rPr>
      <w:rFonts w:ascii="Arial" w:hAnsi="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CF0C-C1B7-46FF-92CA-7C039AE3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
  <TotalTime>1071</TotalTime>
  <Pages>8</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vt:lpstr>
    </vt:vector>
  </TitlesOfParts>
  <Company>City of Columbia</Company>
  <LinksUpToDate>false</LinksUpToDate>
  <CharactersWithSpaces>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Danny King</dc:creator>
  <cp:lastModifiedBy>Danny King</cp:lastModifiedBy>
  <cp:revision>4</cp:revision>
  <cp:lastPrinted>2017-03-14T15:13:00Z</cp:lastPrinted>
  <dcterms:created xsi:type="dcterms:W3CDTF">2017-03-14T14:52:00Z</dcterms:created>
  <dcterms:modified xsi:type="dcterms:W3CDTF">2017-03-23T13:54:00Z</dcterms:modified>
</cp:coreProperties>
</file>