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201" w:rsidRDefault="00591201">
      <w:pPr>
        <w:widowControl w:val="0"/>
        <w:pBdr>
          <w:top w:val="nil"/>
          <w:left w:val="nil"/>
          <w:bottom w:val="nil"/>
          <w:right w:val="nil"/>
          <w:between w:val="nil"/>
        </w:pBdr>
        <w:spacing w:line="276" w:lineRule="auto"/>
      </w:pPr>
    </w:p>
    <w:p w:rsidR="00591201" w:rsidRDefault="00591201">
      <w:pPr>
        <w:widowControl w:val="0"/>
        <w:pBdr>
          <w:top w:val="nil"/>
          <w:left w:val="nil"/>
          <w:bottom w:val="nil"/>
          <w:right w:val="nil"/>
          <w:between w:val="nil"/>
        </w:pBdr>
        <w:spacing w:line="276" w:lineRule="auto"/>
      </w:pPr>
    </w:p>
    <w:p w:rsidR="00591201" w:rsidRDefault="00591201">
      <w:pPr>
        <w:tabs>
          <w:tab w:val="left" w:pos="3530"/>
        </w:tabs>
        <w:rPr>
          <w:b/>
          <w:highlight w:val="yellow"/>
        </w:rPr>
      </w:pPr>
    </w:p>
    <w:p w:rsidR="00591201" w:rsidRDefault="008B1642" w:rsidP="008B1642">
      <w:pPr>
        <w:widowControl w:val="0"/>
        <w:spacing w:before="240" w:after="240"/>
        <w:ind w:firstLine="720"/>
        <w:jc w:val="center"/>
      </w:pPr>
      <w:r>
        <w:t xml:space="preserve">Matilija Middle School </w:t>
      </w:r>
    </w:p>
    <w:p w:rsidR="008B1642" w:rsidRDefault="008B1642" w:rsidP="008B1642">
      <w:pPr>
        <w:widowControl w:val="0"/>
        <w:spacing w:before="240" w:after="240"/>
        <w:ind w:firstLine="720"/>
        <w:jc w:val="center"/>
      </w:pPr>
      <w:r>
        <w:t>Library Refresh Project 2021-1617</w:t>
      </w:r>
    </w:p>
    <w:p w:rsidR="00591201" w:rsidRDefault="008B1642" w:rsidP="008B1642">
      <w:pPr>
        <w:widowControl w:val="0"/>
        <w:spacing w:before="240" w:after="240"/>
        <w:ind w:firstLine="720"/>
        <w:jc w:val="center"/>
      </w:pPr>
      <w:r>
        <w:t>Addendum 1</w:t>
      </w:r>
      <w:r w:rsidR="00962866">
        <w:t>a</w:t>
      </w:r>
      <w:r w:rsidR="00242703">
        <w:t>`</w:t>
      </w:r>
      <w:bookmarkStart w:id="0" w:name="_GoBack"/>
      <w:bookmarkEnd w:id="0"/>
    </w:p>
    <w:p w:rsidR="008B1642" w:rsidRDefault="008B1642" w:rsidP="008B1642">
      <w:pPr>
        <w:widowControl w:val="0"/>
        <w:spacing w:before="240" w:after="240"/>
        <w:ind w:firstLine="720"/>
        <w:jc w:val="center"/>
      </w:pPr>
      <w:r>
        <w:t>11/29/21</w:t>
      </w:r>
    </w:p>
    <w:p w:rsidR="008B1642" w:rsidRDefault="008B1642" w:rsidP="008B1642">
      <w:pPr>
        <w:widowControl w:val="0"/>
        <w:spacing w:before="240" w:after="240"/>
        <w:ind w:firstLine="720"/>
      </w:pPr>
      <w:r>
        <w:t xml:space="preserve">A question was asked about the ceiling inside the room in the NW corner that gets </w:t>
      </w:r>
      <w:proofErr w:type="spellStart"/>
      <w:r>
        <w:t>demo’d</w:t>
      </w:r>
      <w:proofErr w:type="spellEnd"/>
      <w:r>
        <w:t>.</w:t>
      </w:r>
    </w:p>
    <w:p w:rsidR="008B1642" w:rsidRDefault="008B1642" w:rsidP="008B1642">
      <w:pPr>
        <w:widowControl w:val="0"/>
        <w:spacing w:before="240" w:after="240"/>
      </w:pPr>
      <w:r>
        <w:tab/>
        <w:t>The question related to how to treat the wall demo, ceiling and rebuilding a portion of the wall.</w:t>
      </w:r>
    </w:p>
    <w:p w:rsidR="008B1642" w:rsidRDefault="008B1642" w:rsidP="008B1642">
      <w:pPr>
        <w:widowControl w:val="0"/>
        <w:spacing w:before="240" w:after="240"/>
      </w:pPr>
      <w:r>
        <w:tab/>
        <w:t xml:space="preserve">Here is our </w:t>
      </w:r>
      <w:proofErr w:type="gramStart"/>
      <w:r>
        <w:t>architects</w:t>
      </w:r>
      <w:proofErr w:type="gramEnd"/>
      <w:r>
        <w:t xml:space="preserve"> response:</w:t>
      </w:r>
    </w:p>
    <w:p w:rsidR="008B1642" w:rsidRDefault="008B1642" w:rsidP="008B1642">
      <w:pPr>
        <w:widowControl w:val="0"/>
        <w:spacing w:before="240" w:after="240"/>
      </w:pPr>
    </w:p>
    <w:p w:rsidR="008B1642" w:rsidRPr="008B1642" w:rsidRDefault="008B1642" w:rsidP="008B1642">
      <w:pPr>
        <w:widowControl w:val="0"/>
        <w:spacing w:before="240" w:after="240"/>
        <w:ind w:left="720"/>
        <w:rPr>
          <w:rFonts w:ascii="Public Sans" w:hAnsi="Public Sans"/>
          <w:color w:val="0070C0"/>
          <w:shd w:val="clear" w:color="auto" w:fill="FFFFFF"/>
        </w:rPr>
      </w:pPr>
      <w:r w:rsidRPr="008B1642">
        <w:rPr>
          <w:rFonts w:ascii="Public Sans" w:hAnsi="Public Sans"/>
          <w:color w:val="0070C0"/>
          <w:shd w:val="clear" w:color="auto" w:fill="FFFFFF"/>
        </w:rPr>
        <w:t xml:space="preserve">Drawing 2/Sheet A-104 notes the existing ceiling at +/-9’-2”.  Drawing 9/Sheet A-201 calls out the header to be +/-7’-10”.  </w:t>
      </w:r>
    </w:p>
    <w:p w:rsidR="008B1642" w:rsidRPr="008B1642" w:rsidRDefault="008B1642" w:rsidP="008B1642">
      <w:pPr>
        <w:widowControl w:val="0"/>
        <w:spacing w:before="240" w:after="240"/>
        <w:ind w:left="720"/>
        <w:rPr>
          <w:color w:val="0070C0"/>
        </w:rPr>
      </w:pPr>
      <w:r w:rsidRPr="008B1642">
        <w:rPr>
          <w:rFonts w:ascii="Public Sans" w:hAnsi="Public Sans"/>
          <w:color w:val="0070C0"/>
          <w:shd w:val="clear" w:color="auto" w:fill="FFFFFF"/>
        </w:rPr>
        <w:t>The driving factor is that the header height should be just low enough to accept the acoustic panels high on the wall facing the library.  I’m envisioning just replacing the tiles in there with something nicer as specified in Keynote 1/Drawing A-104. It has a little texture to it that looked to me like it matches the library well.</w:t>
      </w:r>
    </w:p>
    <w:p w:rsidR="008B1642" w:rsidRDefault="008B1642" w:rsidP="008B1642">
      <w:pPr>
        <w:widowControl w:val="0"/>
        <w:spacing w:before="240" w:after="240"/>
      </w:pPr>
      <w:r>
        <w:tab/>
        <w:t>Here is a link to an example of a panel that could work.</w:t>
      </w:r>
    </w:p>
    <w:p w:rsidR="008B1642" w:rsidRPr="008B1642" w:rsidRDefault="008B1642" w:rsidP="008B1642">
      <w:pPr>
        <w:widowControl w:val="0"/>
        <w:spacing w:before="240" w:after="240"/>
        <w:ind w:left="720"/>
        <w:rPr>
          <w:color w:val="0070C0"/>
        </w:rPr>
      </w:pPr>
      <w:hyperlink r:id="rId7" w:history="1">
        <w:r w:rsidRPr="008B1642">
          <w:rPr>
            <w:rStyle w:val="Hyperlink"/>
            <w:rFonts w:ascii="Public Sans" w:hAnsi="Public Sans"/>
            <w:color w:val="0070C0"/>
            <w:shd w:val="clear" w:color="auto" w:fill="FFFFFF"/>
          </w:rPr>
          <w:t>https://www.armstrongceilings.com/residential/en-us/suspended-ceiling-systems/textured-look-ceiling-tiles/item/1135.html</w:t>
        </w:r>
      </w:hyperlink>
    </w:p>
    <w:p w:rsidR="008B1642" w:rsidRDefault="008B1642">
      <w:pPr>
        <w:widowControl w:val="0"/>
        <w:spacing w:before="240" w:after="240"/>
        <w:ind w:firstLine="720"/>
      </w:pPr>
    </w:p>
    <w:sectPr w:rsidR="008B1642">
      <w:headerReference w:type="even" r:id="rId8"/>
      <w:headerReference w:type="default" r:id="rId9"/>
      <w:footerReference w:type="even" r:id="rId10"/>
      <w:footerReference w:type="default" r:id="rId11"/>
      <w:headerReference w:type="first" r:id="rId12"/>
      <w:footerReference w:type="first" r:id="rId13"/>
      <w:pgSz w:w="12240" w:h="15840"/>
      <w:pgMar w:top="2160" w:right="720" w:bottom="720" w:left="1080" w:header="432" w:footer="28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09F9" w:rsidRDefault="002309F9">
      <w:r>
        <w:separator/>
      </w:r>
    </w:p>
  </w:endnote>
  <w:endnote w:type="continuationSeparator" w:id="0">
    <w:p w:rsidR="002309F9" w:rsidRDefault="00230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oudy Old Style">
    <w:panose1 w:val="020205020503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Public Sans">
    <w:altName w:val="Cambria"/>
    <w:panose1 w:val="00000000000000000000"/>
    <w:charset w:val="00"/>
    <w:family w:val="roman"/>
    <w:notTrueType/>
    <w:pitch w:val="default"/>
  </w:font>
  <w:font w:name="Corsiva">
    <w:charset w:val="00"/>
    <w:family w:val="auto"/>
    <w:pitch w:val="default"/>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201" w:rsidRDefault="00591201">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201" w:rsidRDefault="00591201">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201" w:rsidRDefault="00591201">
    <w:pPr>
      <w:widowControl w:val="0"/>
      <w:spacing w:line="276" w:lineRule="auto"/>
    </w:pPr>
  </w:p>
  <w:tbl>
    <w:tblPr>
      <w:tblStyle w:val="a0"/>
      <w:tblW w:w="94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10"/>
      <w:gridCol w:w="3555"/>
    </w:tblGrid>
    <w:tr w:rsidR="00591201">
      <w:trPr>
        <w:jc w:val="center"/>
      </w:trPr>
      <w:tc>
        <w:tcPr>
          <w:tcW w:w="5910" w:type="dxa"/>
        </w:tcPr>
        <w:p w:rsidR="00591201" w:rsidRDefault="002309F9">
          <w:pPr>
            <w:rPr>
              <w:b/>
              <w:sz w:val="18"/>
              <w:szCs w:val="18"/>
            </w:rPr>
          </w:pPr>
          <w:r>
            <w:rPr>
              <w:b/>
              <w:sz w:val="18"/>
              <w:szCs w:val="18"/>
            </w:rPr>
            <w:t xml:space="preserve">Administration </w:t>
          </w:r>
        </w:p>
      </w:tc>
      <w:tc>
        <w:tcPr>
          <w:tcW w:w="3555" w:type="dxa"/>
        </w:tcPr>
        <w:p w:rsidR="00591201" w:rsidRDefault="002309F9">
          <w:pPr>
            <w:jc w:val="right"/>
            <w:rPr>
              <w:b/>
              <w:sz w:val="18"/>
              <w:szCs w:val="18"/>
            </w:rPr>
          </w:pPr>
          <w:r>
            <w:rPr>
              <w:b/>
              <w:sz w:val="18"/>
              <w:szCs w:val="18"/>
            </w:rPr>
            <w:t>Board of Education</w:t>
          </w:r>
        </w:p>
      </w:tc>
    </w:tr>
    <w:tr w:rsidR="00591201">
      <w:trPr>
        <w:jc w:val="center"/>
      </w:trPr>
      <w:tc>
        <w:tcPr>
          <w:tcW w:w="5910" w:type="dxa"/>
        </w:tcPr>
        <w:p w:rsidR="00591201" w:rsidRDefault="002309F9">
          <w:pPr>
            <w:rPr>
              <w:sz w:val="18"/>
              <w:szCs w:val="18"/>
            </w:rPr>
          </w:pPr>
          <w:r>
            <w:rPr>
              <w:sz w:val="18"/>
              <w:szCs w:val="18"/>
            </w:rPr>
            <w:t xml:space="preserve">Tiffany Morse, Ph.D., Superintendent </w:t>
          </w:r>
        </w:p>
      </w:tc>
      <w:tc>
        <w:tcPr>
          <w:tcW w:w="3555" w:type="dxa"/>
        </w:tcPr>
        <w:p w:rsidR="00591201" w:rsidRDefault="002309F9">
          <w:pPr>
            <w:jc w:val="right"/>
            <w:rPr>
              <w:sz w:val="18"/>
              <w:szCs w:val="18"/>
            </w:rPr>
          </w:pPr>
          <w:r>
            <w:rPr>
              <w:sz w:val="18"/>
              <w:szCs w:val="18"/>
            </w:rPr>
            <w:t>Jane Seiler Weil, President</w:t>
          </w:r>
        </w:p>
      </w:tc>
    </w:tr>
    <w:tr w:rsidR="00591201">
      <w:trPr>
        <w:jc w:val="center"/>
      </w:trPr>
      <w:tc>
        <w:tcPr>
          <w:tcW w:w="5910" w:type="dxa"/>
        </w:tcPr>
        <w:p w:rsidR="00591201" w:rsidRDefault="002309F9">
          <w:pPr>
            <w:rPr>
              <w:sz w:val="18"/>
              <w:szCs w:val="18"/>
            </w:rPr>
          </w:pPr>
          <w:r>
            <w:rPr>
              <w:sz w:val="18"/>
              <w:szCs w:val="18"/>
            </w:rPr>
            <w:t xml:space="preserve">Sherrill Knox, Ed.D., Assistant Superintendent Educational Services </w:t>
          </w:r>
        </w:p>
      </w:tc>
      <w:tc>
        <w:tcPr>
          <w:tcW w:w="3555" w:type="dxa"/>
        </w:tcPr>
        <w:p w:rsidR="00591201" w:rsidRDefault="002309F9">
          <w:pPr>
            <w:jc w:val="center"/>
            <w:rPr>
              <w:sz w:val="18"/>
              <w:szCs w:val="18"/>
            </w:rPr>
          </w:pPr>
          <w:r>
            <w:rPr>
              <w:sz w:val="18"/>
              <w:szCs w:val="18"/>
            </w:rPr>
            <w:t xml:space="preserve">                              Kevin </w:t>
          </w:r>
          <w:proofErr w:type="spellStart"/>
          <w:r>
            <w:rPr>
              <w:sz w:val="18"/>
              <w:szCs w:val="18"/>
            </w:rPr>
            <w:t>Ruf</w:t>
          </w:r>
          <w:proofErr w:type="spellEnd"/>
          <w:r>
            <w:rPr>
              <w:sz w:val="18"/>
              <w:szCs w:val="18"/>
            </w:rPr>
            <w:t>, Vice President</w:t>
          </w:r>
        </w:p>
      </w:tc>
    </w:tr>
    <w:tr w:rsidR="00591201">
      <w:trPr>
        <w:jc w:val="center"/>
      </w:trPr>
      <w:tc>
        <w:tcPr>
          <w:tcW w:w="5910" w:type="dxa"/>
        </w:tcPr>
        <w:p w:rsidR="00591201" w:rsidRDefault="00591201">
          <w:pPr>
            <w:rPr>
              <w:sz w:val="18"/>
              <w:szCs w:val="18"/>
            </w:rPr>
          </w:pPr>
        </w:p>
      </w:tc>
      <w:tc>
        <w:tcPr>
          <w:tcW w:w="3555" w:type="dxa"/>
        </w:tcPr>
        <w:p w:rsidR="00591201" w:rsidRDefault="002309F9">
          <w:pPr>
            <w:jc w:val="right"/>
            <w:rPr>
              <w:sz w:val="18"/>
              <w:szCs w:val="18"/>
            </w:rPr>
          </w:pPr>
          <w:r>
            <w:rPr>
              <w:sz w:val="18"/>
              <w:szCs w:val="18"/>
            </w:rPr>
            <w:t>Michael Shanahan, Clerk</w:t>
          </w:r>
        </w:p>
      </w:tc>
    </w:tr>
    <w:tr w:rsidR="00591201">
      <w:trPr>
        <w:trHeight w:val="52"/>
        <w:jc w:val="center"/>
      </w:trPr>
      <w:tc>
        <w:tcPr>
          <w:tcW w:w="5910" w:type="dxa"/>
        </w:tcPr>
        <w:p w:rsidR="00591201" w:rsidRDefault="00591201">
          <w:pPr>
            <w:rPr>
              <w:sz w:val="18"/>
              <w:szCs w:val="18"/>
            </w:rPr>
          </w:pPr>
        </w:p>
      </w:tc>
      <w:tc>
        <w:tcPr>
          <w:tcW w:w="3555" w:type="dxa"/>
        </w:tcPr>
        <w:p w:rsidR="00591201" w:rsidRDefault="002309F9">
          <w:pPr>
            <w:jc w:val="right"/>
            <w:rPr>
              <w:sz w:val="18"/>
              <w:szCs w:val="18"/>
            </w:rPr>
          </w:pPr>
          <w:r>
            <w:rPr>
              <w:sz w:val="18"/>
              <w:szCs w:val="18"/>
            </w:rPr>
            <w:t xml:space="preserve">Shelly </w:t>
          </w:r>
          <w:proofErr w:type="spellStart"/>
          <w:r>
            <w:rPr>
              <w:sz w:val="18"/>
              <w:szCs w:val="18"/>
            </w:rPr>
            <w:t>Griffen</w:t>
          </w:r>
          <w:proofErr w:type="spellEnd"/>
          <w:r>
            <w:rPr>
              <w:sz w:val="18"/>
              <w:szCs w:val="18"/>
            </w:rPr>
            <w:t>, Member, Trustee Area 4</w:t>
          </w:r>
        </w:p>
      </w:tc>
    </w:tr>
    <w:tr w:rsidR="00591201">
      <w:trPr>
        <w:jc w:val="center"/>
      </w:trPr>
      <w:tc>
        <w:tcPr>
          <w:tcW w:w="5910" w:type="dxa"/>
        </w:tcPr>
        <w:p w:rsidR="00591201" w:rsidRDefault="00591201">
          <w:pPr>
            <w:rPr>
              <w:sz w:val="18"/>
              <w:szCs w:val="18"/>
            </w:rPr>
          </w:pPr>
        </w:p>
      </w:tc>
      <w:tc>
        <w:tcPr>
          <w:tcW w:w="3555" w:type="dxa"/>
        </w:tcPr>
        <w:p w:rsidR="00591201" w:rsidRDefault="002309F9">
          <w:pPr>
            <w:jc w:val="right"/>
            <w:rPr>
              <w:sz w:val="18"/>
              <w:szCs w:val="18"/>
            </w:rPr>
          </w:pPr>
          <w:bookmarkStart w:id="1" w:name="_heading=h.gjdgxs" w:colFirst="0" w:colLast="0"/>
          <w:bookmarkEnd w:id="1"/>
          <w:r>
            <w:rPr>
              <w:sz w:val="18"/>
              <w:szCs w:val="18"/>
            </w:rPr>
            <w:t>Rebecca Chandler, Member, Trustee Area 2</w:t>
          </w:r>
        </w:p>
      </w:tc>
    </w:tr>
  </w:tbl>
  <w:p w:rsidR="00591201" w:rsidRDefault="00591201">
    <w:pPr>
      <w:tabs>
        <w:tab w:val="center" w:pos="4320"/>
        <w:tab w:val="right" w:pos="8640"/>
      </w:tabs>
      <w:jc w:val="center"/>
      <w:rPr>
        <w:rFonts w:ascii="Corsiva" w:eastAsia="Corsiva" w:hAnsi="Corsiva" w:cs="Corsiva"/>
        <w:b/>
        <w:sz w:val="18"/>
        <w:szCs w:val="18"/>
      </w:rPr>
    </w:pPr>
  </w:p>
  <w:p w:rsidR="00591201" w:rsidRDefault="002309F9">
    <w:pPr>
      <w:tabs>
        <w:tab w:val="center" w:pos="4320"/>
        <w:tab w:val="right" w:pos="8640"/>
      </w:tabs>
      <w:jc w:val="center"/>
    </w:pPr>
    <w:r>
      <w:rPr>
        <w:rFonts w:ascii="Corsiva" w:eastAsia="Corsiva" w:hAnsi="Corsiva" w:cs="Corsiva"/>
        <w:b/>
        <w:sz w:val="22"/>
        <w:szCs w:val="22"/>
      </w:rPr>
      <w:t>The Heart and Future of the Community.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09F9" w:rsidRDefault="002309F9">
      <w:r>
        <w:separator/>
      </w:r>
    </w:p>
  </w:footnote>
  <w:footnote w:type="continuationSeparator" w:id="0">
    <w:p w:rsidR="002309F9" w:rsidRDefault="002309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201" w:rsidRDefault="00591201">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201" w:rsidRDefault="00591201">
    <w:pPr>
      <w:pBdr>
        <w:top w:val="nil"/>
        <w:left w:val="nil"/>
        <w:bottom w:val="nil"/>
        <w:right w:val="nil"/>
        <w:between w:val="nil"/>
      </w:pBdr>
      <w:tabs>
        <w:tab w:val="center" w:pos="4320"/>
        <w:tab w:val="right" w:pos="864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201" w:rsidRDefault="00591201">
    <w:pPr>
      <w:pBdr>
        <w:top w:val="nil"/>
        <w:left w:val="nil"/>
        <w:bottom w:val="nil"/>
        <w:right w:val="nil"/>
        <w:between w:val="nil"/>
      </w:pBdr>
      <w:tabs>
        <w:tab w:val="center" w:pos="4320"/>
        <w:tab w:val="right" w:pos="8640"/>
        <w:tab w:val="left" w:pos="1170"/>
      </w:tabs>
      <w:ind w:left="2160"/>
      <w:jc w:val="center"/>
      <w:rPr>
        <w:rFonts w:ascii="Corsiva" w:eastAsia="Corsiva" w:hAnsi="Corsiva" w:cs="Corsiva"/>
        <w:color w:val="000000"/>
        <w:sz w:val="20"/>
        <w:szCs w:val="20"/>
      </w:rPr>
    </w:pPr>
  </w:p>
  <w:p w:rsidR="00591201" w:rsidRDefault="002309F9">
    <w:pPr>
      <w:pBdr>
        <w:top w:val="nil"/>
        <w:left w:val="nil"/>
        <w:bottom w:val="nil"/>
        <w:right w:val="nil"/>
        <w:between w:val="nil"/>
      </w:pBdr>
      <w:tabs>
        <w:tab w:val="center" w:pos="4320"/>
        <w:tab w:val="right" w:pos="8640"/>
        <w:tab w:val="left" w:pos="1170"/>
      </w:tabs>
      <w:ind w:left="2160"/>
      <w:jc w:val="center"/>
      <w:rPr>
        <w:rFonts w:ascii="Corsiva" w:eastAsia="Corsiva" w:hAnsi="Corsiva" w:cs="Corsiva"/>
        <w:color w:val="000000"/>
      </w:rPr>
    </w:pPr>
    <w:r>
      <w:rPr>
        <w:rFonts w:ascii="Corsiva" w:eastAsia="Corsiva" w:hAnsi="Corsiva" w:cs="Corsiva"/>
        <w:color w:val="000000"/>
        <w:sz w:val="56"/>
        <w:szCs w:val="56"/>
      </w:rPr>
      <w:t>Ojai Unified School District</w:t>
    </w:r>
    <w:r>
      <w:rPr>
        <w:noProof/>
      </w:rPr>
      <mc:AlternateContent>
        <mc:Choice Requires="wps">
          <w:drawing>
            <wp:anchor distT="0" distB="0" distL="114300" distR="114300" simplePos="0" relativeHeight="251658240" behindDoc="0" locked="0" layoutInCell="1" hidden="0" allowOverlap="1">
              <wp:simplePos x="0" y="0"/>
              <wp:positionH relativeFrom="column">
                <wp:posOffset>3</wp:posOffset>
              </wp:positionH>
              <wp:positionV relativeFrom="paragraph">
                <wp:posOffset>-115568</wp:posOffset>
              </wp:positionV>
              <wp:extent cx="1527048" cy="1353312"/>
              <wp:effectExtent l="0" t="0" r="0" b="0"/>
              <wp:wrapSquare wrapText="bothSides" distT="0" distB="0" distL="114300" distR="114300"/>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7048" cy="1353312"/>
                      </a:xfrm>
                      <a:prstGeom prst="rect">
                        <a:avLst/>
                      </a:prstGeom>
                      <a:solidFill>
                        <a:srgbClr val="FFFFFF"/>
                      </a:solidFill>
                      <a:ln>
                        <a:noFill/>
                      </a:ln>
                      <a:extLst/>
                    </wps:spPr>
                    <wps:txbx>
                      <w:txbxContent>
                        <w:p w:rsidR="00B93767" w:rsidRDefault="002309F9" w:rsidP="00772BCD">
                          <w:pPr>
                            <w:ind w:right="-576"/>
                          </w:pPr>
                          <w:r>
                            <w:rPr>
                              <w:noProof/>
                            </w:rPr>
                            <w:ptab w:relativeTo="margin" w:alignment="left" w:leader="none"/>
                          </w:r>
                          <w:r>
                            <w:rPr>
                              <w:noProof/>
                            </w:rPr>
                            <w:drawing>
                              <wp:inline distT="0" distB="0" distL="0" distR="0">
                                <wp:extent cx="1263650" cy="12617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 FinalLogo.jpg"/>
                                        <pic:cNvPicPr/>
                                      </pic:nvPicPr>
                                      <pic:blipFill>
                                        <a:blip r:embed="rId1" cstate="print">
                                          <a:extLst/>
                                        </a:blip>
                                        <a:stretch>
                                          <a:fillRect/>
                                        </a:stretch>
                                      </pic:blipFill>
                                      <pic:spPr>
                                        <a:xfrm>
                                          <a:off x="0" y="0"/>
                                          <a:ext cx="1263650" cy="126174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0;margin-top:-9.1pt;width:120.25pt;height:106.5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" stroked="f">
              <v:textbox>
                <w:txbxContent>
                  <w:p w:rsidR="00B93767" w:rsidRDefault="002309F9" w:rsidP="00772BCD">
                    <w:pPr>
                      <w:ind w:right="-576"/>
                    </w:pPr>
                    <w:r>
                      <w:rPr>
                        <w:noProof/>
                      </w:rPr>
                      <w:ptab w:relativeTo="margin" w:alignment="left" w:leader="none"/>
                    </w:r>
                    <w:r>
                      <w:rPr>
                        <w:noProof/>
                      </w:rPr>
                      <w:drawing>
                        <wp:inline distT="0" distB="0" distL="0" distR="0">
                          <wp:extent cx="1263650" cy="12617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 FinalLogo.jpg"/>
                                  <pic:cNvPicPr/>
                                </pic:nvPicPr>
                                <pic:blipFill>
                                  <a:blip r:embed="rId1" cstate="print">
                                    <a:extLst/>
                                  </a:blip>
                                  <a:stretch>
                                    <a:fillRect/>
                                  </a:stretch>
                                </pic:blipFill>
                                <pic:spPr>
                                  <a:xfrm>
                                    <a:off x="0" y="0"/>
                                    <a:ext cx="1263650" cy="1261745"/>
                                  </a:xfrm>
                                  <a:prstGeom prst="rect">
                                    <a:avLst/>
                                  </a:prstGeom>
                                </pic:spPr>
                              </pic:pic>
                            </a:graphicData>
                          </a:graphic>
                        </wp:inline>
                      </w:drawing>
                    </w:r>
                  </w:p>
                </w:txbxContent>
              </v:textbox>
              <w10:wrap type="square"/>
            </v:shape>
          </w:pict>
        </mc:Fallback>
      </mc:AlternateContent>
    </w:r>
  </w:p>
  <w:p w:rsidR="00591201" w:rsidRDefault="002309F9">
    <w:pPr>
      <w:pBdr>
        <w:top w:val="nil"/>
        <w:left w:val="nil"/>
        <w:bottom w:val="nil"/>
        <w:right w:val="nil"/>
        <w:between w:val="nil"/>
      </w:pBdr>
      <w:tabs>
        <w:tab w:val="center" w:pos="4320"/>
        <w:tab w:val="right" w:pos="8640"/>
        <w:tab w:val="left" w:pos="3560"/>
        <w:tab w:val="center" w:pos="6300"/>
      </w:tabs>
      <w:ind w:left="2520"/>
      <w:rPr>
        <w:color w:val="000000"/>
      </w:rPr>
    </w:pPr>
    <w:r>
      <w:rPr>
        <w:color w:val="000000"/>
      </w:rPr>
      <w:tab/>
    </w:r>
    <w:r>
      <w:rPr>
        <w:color w:val="000000"/>
      </w:rPr>
      <w:tab/>
      <w:t>414 East Ojai Avenue, P.O. Box 878, Ojai, CA 93024</w:t>
    </w:r>
  </w:p>
  <w:p w:rsidR="00591201" w:rsidRDefault="002309F9">
    <w:pPr>
      <w:pBdr>
        <w:top w:val="nil"/>
        <w:left w:val="nil"/>
        <w:bottom w:val="nil"/>
        <w:right w:val="nil"/>
        <w:between w:val="nil"/>
      </w:pBdr>
      <w:tabs>
        <w:tab w:val="center" w:pos="4320"/>
        <w:tab w:val="right" w:pos="8640"/>
      </w:tabs>
      <w:ind w:left="2160"/>
      <w:jc w:val="center"/>
      <w:rPr>
        <w:rFonts w:ascii="Garamond" w:eastAsia="Garamond" w:hAnsi="Garamond" w:cs="Garamond"/>
        <w:color w:val="000000"/>
        <w:sz w:val="28"/>
        <w:szCs w:val="28"/>
      </w:rPr>
    </w:pPr>
    <w:r>
      <w:rPr>
        <w:color w:val="000000"/>
      </w:rPr>
      <w:t>(805) 640-4300 • www.ojaiusd.org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201"/>
    <w:rsid w:val="002309F9"/>
    <w:rsid w:val="00242703"/>
    <w:rsid w:val="00591201"/>
    <w:rsid w:val="008B1642"/>
    <w:rsid w:val="00962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72E04"/>
  <w15:docId w15:val="{AF81D592-D4B7-4835-97CA-7E9876A9C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C2BC0"/>
  </w:style>
  <w:style w:type="paragraph" w:styleId="Heading1">
    <w:name w:val="heading 1"/>
    <w:basedOn w:val="Normal"/>
    <w:next w:val="Normal"/>
    <w:uiPriority w:val="9"/>
    <w:qFormat/>
    <w:pPr>
      <w:keepNext/>
      <w:jc w:val="right"/>
      <w:outlineLvl w:val="0"/>
    </w:pPr>
    <w:rPr>
      <w:b/>
      <w:bCs/>
      <w:sz w:val="18"/>
    </w:rPr>
  </w:style>
  <w:style w:type="paragraph" w:styleId="Heading2">
    <w:name w:val="heading 2"/>
    <w:basedOn w:val="Normal"/>
    <w:next w:val="Normal"/>
    <w:link w:val="Heading2Char"/>
    <w:uiPriority w:val="9"/>
    <w:semiHidden/>
    <w:unhideWhenUsed/>
    <w:qFormat/>
    <w:rsid w:val="00CF266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sz w:val="4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jc w:val="both"/>
    </w:pPr>
    <w:rPr>
      <w:rFonts w:ascii="Arial" w:hAnsi="Arial"/>
      <w:szCs w:val="20"/>
    </w:rPr>
  </w:style>
  <w:style w:type="paragraph" w:styleId="BodyTextIndent">
    <w:name w:val="Body Text Indent"/>
    <w:basedOn w:val="Normal"/>
    <w:pPr>
      <w:ind w:left="1440"/>
    </w:pPr>
    <w:rPr>
      <w:color w:val="000000"/>
    </w:rPr>
  </w:style>
  <w:style w:type="paragraph" w:styleId="BodyTextIndent2">
    <w:name w:val="Body Text Indent 2"/>
    <w:basedOn w:val="Normal"/>
    <w:pPr>
      <w:ind w:left="1440" w:hanging="720"/>
    </w:pPr>
    <w:rPr>
      <w:color w:val="000000"/>
    </w:rPr>
  </w:style>
  <w:style w:type="paragraph" w:styleId="BodyText2">
    <w:name w:val="Body Text 2"/>
    <w:basedOn w:val="Normal"/>
    <w:rPr>
      <w:b/>
      <w:bCs/>
      <w:color w:val="FF0000"/>
      <w:sz w:val="40"/>
    </w:rPr>
  </w:style>
  <w:style w:type="paragraph" w:styleId="BalloonText">
    <w:name w:val="Balloon Text"/>
    <w:basedOn w:val="Normal"/>
    <w:semiHidden/>
    <w:rsid w:val="001715C0"/>
    <w:rPr>
      <w:rFonts w:ascii="Tahoma" w:hAnsi="Tahoma" w:cs="Tahoma"/>
      <w:sz w:val="16"/>
      <w:szCs w:val="16"/>
    </w:rPr>
  </w:style>
  <w:style w:type="character" w:styleId="Hyperlink">
    <w:name w:val="Hyperlink"/>
    <w:rsid w:val="00DC357D"/>
    <w:rPr>
      <w:color w:val="0000FF"/>
      <w:u w:val="single"/>
    </w:rPr>
  </w:style>
  <w:style w:type="paragraph" w:customStyle="1" w:styleId="Default">
    <w:name w:val="Default"/>
    <w:rsid w:val="005418B9"/>
    <w:pPr>
      <w:autoSpaceDE w:val="0"/>
      <w:autoSpaceDN w:val="0"/>
      <w:adjustRightInd w:val="0"/>
    </w:pPr>
    <w:rPr>
      <w:rFonts w:ascii="Goudy Old Style" w:hAnsi="Goudy Old Style" w:cs="Goudy Old Style"/>
      <w:color w:val="000000"/>
    </w:rPr>
  </w:style>
  <w:style w:type="table" w:styleId="TableGrid">
    <w:name w:val="Table Grid"/>
    <w:basedOn w:val="TableNormal"/>
    <w:rsid w:val="000C0E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semiHidden/>
    <w:rsid w:val="00CF2661"/>
    <w:rPr>
      <w:rFonts w:asciiTheme="majorHAnsi" w:eastAsiaTheme="majorEastAsia" w:hAnsiTheme="majorHAnsi" w:cstheme="majorBidi"/>
      <w:b/>
      <w:bCs/>
      <w:color w:val="4F81BD" w:themeColor="accent1"/>
      <w:sz w:val="26"/>
      <w:szCs w:val="26"/>
    </w:rPr>
  </w:style>
  <w:style w:type="paragraph" w:customStyle="1" w:styleId="BodyTextFlush">
    <w:name w:val="Body Text Flush"/>
    <w:basedOn w:val="Normal"/>
    <w:link w:val="BodyTextFlushChar"/>
    <w:qFormat/>
    <w:rsid w:val="001F5CFC"/>
    <w:pPr>
      <w:spacing w:before="240"/>
      <w:jc w:val="both"/>
    </w:pPr>
    <w:rPr>
      <w:rFonts w:eastAsiaTheme="minorEastAsia"/>
    </w:rPr>
  </w:style>
  <w:style w:type="character" w:customStyle="1" w:styleId="BodyTextFlushChar">
    <w:name w:val="Body Text Flush Char"/>
    <w:basedOn w:val="DefaultParagraphFont"/>
    <w:link w:val="BodyTextFlush"/>
    <w:rsid w:val="001F5CFC"/>
    <w:rPr>
      <w:rFonts w:eastAsiaTheme="minorEastAsia"/>
      <w:sz w:val="24"/>
      <w:szCs w:val="24"/>
    </w:rPr>
  </w:style>
  <w:style w:type="paragraph" w:styleId="ListParagraph">
    <w:name w:val="List Paragraph"/>
    <w:basedOn w:val="Normal"/>
    <w:uiPriority w:val="34"/>
    <w:qFormat/>
    <w:rsid w:val="00C30919"/>
    <w:pPr>
      <w:ind w:left="720"/>
      <w:contextualSpacing/>
    </w:pPr>
  </w:style>
  <w:style w:type="character" w:styleId="Strong">
    <w:name w:val="Strong"/>
    <w:basedOn w:val="DefaultParagraphFont"/>
    <w:uiPriority w:val="22"/>
    <w:qFormat/>
    <w:rsid w:val="005528AA"/>
    <w:rPr>
      <w:b/>
      <w:bCs/>
    </w:rPr>
  </w:style>
  <w:style w:type="paragraph" w:customStyle="1" w:styleId="m-1341564460962132369gmail-paragraph">
    <w:name w:val="m_-1341564460962132369gmail-paragraph"/>
    <w:basedOn w:val="Normal"/>
    <w:rsid w:val="00612E1C"/>
    <w:pPr>
      <w:spacing w:before="100" w:beforeAutospacing="1" w:after="100" w:afterAutospacing="1"/>
    </w:pPr>
  </w:style>
  <w:style w:type="character" w:customStyle="1" w:styleId="m-1341564460962132369gmail-normaltextrun">
    <w:name w:val="m_-1341564460962132369gmail-normaltextrun"/>
    <w:basedOn w:val="DefaultParagraphFont"/>
    <w:rsid w:val="00612E1C"/>
  </w:style>
  <w:style w:type="character" w:customStyle="1" w:styleId="m-1341564460962132369gmail-eop">
    <w:name w:val="m_-1341564460962132369gmail-eop"/>
    <w:basedOn w:val="DefaultParagraphFont"/>
    <w:rsid w:val="00612E1C"/>
  </w:style>
  <w:style w:type="character" w:customStyle="1" w:styleId="m-1341564460962132369gmail-contextualspellingandgrammarerror">
    <w:name w:val="m_-1341564460962132369gmail-contextualspellingandgrammarerror"/>
    <w:basedOn w:val="DefaultParagraphFont"/>
    <w:rsid w:val="00612E1C"/>
  </w:style>
  <w:style w:type="paragraph" w:styleId="NormalWeb">
    <w:name w:val="Normal (Web)"/>
    <w:basedOn w:val="Normal"/>
    <w:uiPriority w:val="99"/>
    <w:unhideWhenUsed/>
    <w:rsid w:val="00B93767"/>
    <w:pPr>
      <w:spacing w:before="100" w:beforeAutospacing="1" w:after="100" w:afterAutospacing="1"/>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8B1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armstrongceilings.com/residential/en-us/suspended-ceiling-systems/textured-look-ceiling-tiles/item/1135.htm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q5uS5VqabLA9SffJwBCi9JB60w==">AMUW2mXeSiIsySlV4s2M0O6ks5QzVGITeOnVFZQF1KSQBShnazzi8NHmgU4bzJM8o586Y/pPYZdNPO6hDtoIMcVJS0dwSP+dIwinZnjLxkLermLWikf37kTvMyENkFD3L9LOOiCBJNyU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161</Words>
  <Characters>921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Smith</dc:creator>
  <cp:lastModifiedBy>Alan White</cp:lastModifiedBy>
  <cp:revision>5</cp:revision>
  <dcterms:created xsi:type="dcterms:W3CDTF">2021-11-29T22:47:00Z</dcterms:created>
  <dcterms:modified xsi:type="dcterms:W3CDTF">2021-11-29T22:53:00Z</dcterms:modified>
</cp:coreProperties>
</file>