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5E5E1D">
              <w:rPr>
                <w:color w:val="262626" w:themeColor="text1" w:themeTint="D9"/>
              </w:rPr>
              <w:t>2019-003B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5E5E1D">
              <w:rPr>
                <w:rFonts w:ascii="Arial" w:hAnsi="Arial" w:cs="Arial"/>
                <w:b/>
                <w:bCs/>
                <w:color w:val="262626" w:themeColor="text1" w:themeTint="D9"/>
                <w:sz w:val="22"/>
              </w:rPr>
              <w:t>Sodium Hypochlorite</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5E5E1D">
              <w:rPr>
                <w:rFonts w:ascii="Arial" w:hAnsi="Arial" w:cs="Arial"/>
                <w:b/>
                <w:bCs/>
                <w:color w:val="262626" w:themeColor="text1" w:themeTint="D9"/>
                <w:sz w:val="22"/>
              </w:rPr>
              <w:t>August 10, 2018</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5E5E1D">
        <w:rPr>
          <w:rFonts w:ascii="Arial" w:eastAsia="MS Mincho" w:hAnsi="Arial" w:cs="Arial"/>
          <w:b/>
          <w:bCs/>
          <w:color w:val="262626" w:themeColor="text1" w:themeTint="D9"/>
        </w:rPr>
        <w:t xml:space="preserve">August 27, 2018,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 xml:space="preserve">The City is soliciting bids for the purpose of contracting for the </w:t>
      </w:r>
      <w:r w:rsidR="005E5E1D">
        <w:rPr>
          <w:rFonts w:ascii="Arial" w:eastAsia="MS Mincho" w:hAnsi="Arial" w:cs="Arial"/>
          <w:color w:val="262626" w:themeColor="text1" w:themeTint="D9"/>
        </w:rPr>
        <w:t>City's annual requirements for sodium hypochlorite</w:t>
      </w:r>
      <w:r w:rsidRPr="006B4A7A">
        <w:rPr>
          <w:rFonts w:ascii="Arial" w:eastAsia="MS Mincho" w:hAnsi="Arial" w:cs="Arial"/>
          <w:color w:val="262626" w:themeColor="text1" w:themeTint="D9"/>
        </w:rPr>
        <w:t>. The resulting contract is anticipa</w:t>
      </w:r>
      <w:r w:rsidR="005E5E1D">
        <w:rPr>
          <w:rFonts w:ascii="Arial" w:eastAsia="MS Mincho" w:hAnsi="Arial" w:cs="Arial"/>
          <w:color w:val="262626" w:themeColor="text1" w:themeTint="D9"/>
        </w:rPr>
        <w:t xml:space="preserve">ted for a term of up to three (3) </w:t>
      </w:r>
      <w:r w:rsidRPr="006B4A7A">
        <w:rPr>
          <w:rFonts w:ascii="Arial" w:eastAsia="MS Mincho" w:hAnsi="Arial" w:cs="Arial"/>
          <w:color w:val="262626" w:themeColor="text1" w:themeTint="D9"/>
        </w:rPr>
        <w:t>years.</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636309">
      <w:pPr>
        <w:tabs>
          <w:tab w:val="num" w:pos="540"/>
        </w:tabs>
        <w:ind w:left="540" w:hanging="540"/>
        <w:rPr>
          <w:rFonts w:ascii="Arial" w:eastAsia="MS Mincho" w:hAnsi="Arial" w:cs="Arial"/>
          <w:color w:val="262626" w:themeColor="text1" w:themeTint="D9"/>
          <w:sz w:val="18"/>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CC08A0" w:rsidRPr="00DC0C3F" w:rsidRDefault="00CC08A0" w:rsidP="00F07AAC">
      <w:pPr>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sz w:val="18"/>
        </w:rPr>
        <w:br w:type="page"/>
      </w:r>
      <w:r w:rsidRPr="00DC0C3F">
        <w:rPr>
          <w:rFonts w:ascii="Arial" w:eastAsia="MS Mincho" w:hAnsi="Arial" w:cs="Arial"/>
          <w:b/>
          <w:bCs/>
          <w:color w:val="262626" w:themeColor="text1" w:themeTint="D9"/>
        </w:rPr>
        <w:lastRenderedPageBreak/>
        <w:t>SPECIFICATIONS</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cr/>
      </w:r>
    </w:p>
    <w:p w:rsidR="00CC08A0" w:rsidRPr="00DC0C3F" w:rsidRDefault="00CC08A0">
      <w:pPr>
        <w:pStyle w:val="PlainText"/>
        <w:jc w:val="both"/>
        <w:rPr>
          <w:rFonts w:ascii="Arial" w:eastAsia="MS Mincho" w:hAnsi="Arial" w:cs="Arial"/>
          <w:color w:val="262626" w:themeColor="text1" w:themeTint="D9"/>
          <w:sz w:val="18"/>
        </w:rPr>
      </w:pPr>
    </w:p>
    <w:p w:rsidR="005E5E1D" w:rsidRDefault="005E5E1D" w:rsidP="005E5E1D">
      <w:pPr>
        <w:pStyle w:val="DWSty"/>
        <w:tabs>
          <w:tab w:val="left" w:pos="360"/>
        </w:tabs>
        <w:jc w:val="both"/>
        <w:rPr>
          <w:rFonts w:ascii="Arial" w:hAnsi="Arial"/>
          <w:b/>
          <w:sz w:val="20"/>
        </w:rPr>
      </w:pPr>
      <w:r>
        <w:rPr>
          <w:rFonts w:ascii="Arial" w:hAnsi="Arial"/>
          <w:b/>
          <w:sz w:val="20"/>
        </w:rPr>
        <w:t>A.</w:t>
      </w:r>
      <w:r>
        <w:rPr>
          <w:rFonts w:ascii="Arial" w:hAnsi="Arial"/>
          <w:b/>
          <w:sz w:val="20"/>
        </w:rPr>
        <w:tab/>
        <w:t>SODIUM HYPOCHLORITE</w:t>
      </w:r>
    </w:p>
    <w:p w:rsidR="005E5E1D" w:rsidRDefault="005E5E1D" w:rsidP="005E5E1D">
      <w:pPr>
        <w:pStyle w:val="DWSty"/>
        <w:tabs>
          <w:tab w:val="clear" w:pos="720"/>
          <w:tab w:val="num" w:pos="1080"/>
        </w:tabs>
        <w:ind w:left="720"/>
        <w:jc w:val="both"/>
        <w:rPr>
          <w:rFonts w:ascii="Arial" w:hAnsi="Arial"/>
          <w:sz w:val="20"/>
        </w:rPr>
      </w:pPr>
    </w:p>
    <w:p w:rsidR="005E5E1D" w:rsidRPr="00DD4B6E" w:rsidRDefault="005E5E1D" w:rsidP="005E5E1D">
      <w:pPr>
        <w:pStyle w:val="ListParagraph"/>
        <w:numPr>
          <w:ilvl w:val="0"/>
          <w:numId w:val="13"/>
        </w:numPr>
        <w:shd w:val="clear" w:color="auto" w:fill="FFFFFF"/>
        <w:rPr>
          <w:rFonts w:ascii="Arial" w:hAnsi="Arial" w:cs="Arial"/>
          <w:color w:val="000000"/>
          <w:shd w:val="clear" w:color="auto" w:fill="FFFFFF"/>
        </w:rPr>
      </w:pPr>
      <w:r w:rsidRPr="00E67CFA">
        <w:rPr>
          <w:rFonts w:ascii="Arial" w:hAnsi="Arial"/>
          <w:sz w:val="20"/>
          <w:szCs w:val="20"/>
          <w:u w:val="single"/>
        </w:rPr>
        <w:t>Material Content</w:t>
      </w:r>
      <w:r>
        <w:rPr>
          <w:rFonts w:ascii="Arial" w:hAnsi="Arial" w:cs="Arial"/>
          <w:color w:val="000000"/>
          <w:u w:val="single"/>
          <w:shd w:val="clear" w:color="auto" w:fill="FFFFFF"/>
        </w:rPr>
        <w:t xml:space="preserve">- </w:t>
      </w:r>
      <w:r w:rsidRPr="00DD4B6E">
        <w:rPr>
          <w:rFonts w:ascii="Arial" w:hAnsi="Arial" w:cs="Arial"/>
          <w:sz w:val="20"/>
          <w:szCs w:val="20"/>
        </w:rPr>
        <w:t>Manufacturing of Sodium Hypochlorite shall be in accordance with and meet ANSI/NSF/AWWA Standard 60 Drinking Water Treatment Chemicals.</w:t>
      </w:r>
    </w:p>
    <w:p w:rsidR="005E5E1D" w:rsidRPr="00DD4B6E" w:rsidRDefault="005E5E1D" w:rsidP="005E5E1D">
      <w:pPr>
        <w:shd w:val="clear" w:color="auto" w:fill="FFFFFF"/>
        <w:rPr>
          <w:rFonts w:ascii="Arial" w:hAnsi="Arial" w:cs="Arial"/>
          <w:color w:val="000000"/>
          <w:shd w:val="clear" w:color="auto" w:fill="FFFFFF"/>
        </w:rPr>
      </w:pPr>
      <w:r w:rsidRPr="00DD4B6E">
        <w:rPr>
          <w:rFonts w:ascii="Arial" w:hAnsi="Arial" w:cs="Arial"/>
          <w:color w:val="000000"/>
          <w:shd w:val="clear" w:color="auto" w:fill="FFFFFF"/>
        </w:rPr>
        <w:t> </w:t>
      </w:r>
    </w:p>
    <w:p w:rsidR="005E5E1D" w:rsidRPr="00DD4B6E" w:rsidRDefault="005E5E1D" w:rsidP="005E5E1D">
      <w:pPr>
        <w:pStyle w:val="ListParagraph"/>
        <w:numPr>
          <w:ilvl w:val="0"/>
          <w:numId w:val="13"/>
        </w:numPr>
        <w:shd w:val="clear" w:color="auto" w:fill="FFFFFF"/>
        <w:rPr>
          <w:rFonts w:ascii="Arial" w:hAnsi="Arial" w:cs="Arial"/>
          <w:color w:val="000000"/>
          <w:shd w:val="clear" w:color="auto" w:fill="FFFFFF"/>
        </w:rPr>
      </w:pPr>
      <w:r w:rsidRPr="00E67CFA">
        <w:rPr>
          <w:rFonts w:ascii="Arial" w:hAnsi="Arial"/>
          <w:sz w:val="20"/>
          <w:szCs w:val="20"/>
          <w:u w:val="single"/>
        </w:rPr>
        <w:t>Normal Load Size</w:t>
      </w:r>
      <w:r>
        <w:rPr>
          <w:rFonts w:ascii="Arial" w:hAnsi="Arial"/>
          <w:sz w:val="20"/>
          <w:szCs w:val="20"/>
          <w:u w:val="single"/>
        </w:rPr>
        <w:t>-</w:t>
      </w:r>
      <w:proofErr w:type="gramStart"/>
      <w:r w:rsidRPr="00DD4B6E">
        <w:rPr>
          <w:rFonts w:ascii="Arial" w:hAnsi="Arial" w:cs="Arial"/>
          <w:color w:val="000000"/>
          <w:shd w:val="clear" w:color="auto" w:fill="FFFFFF"/>
        </w:rPr>
        <w:t xml:space="preserve">  </w:t>
      </w:r>
      <w:r w:rsidRPr="00DD4B6E">
        <w:rPr>
          <w:rFonts w:ascii="Arial" w:hAnsi="Arial" w:cs="Arial"/>
          <w:sz w:val="20"/>
          <w:szCs w:val="20"/>
        </w:rPr>
        <w:t>Load</w:t>
      </w:r>
      <w:proofErr w:type="gramEnd"/>
      <w:r w:rsidRPr="00DD4B6E">
        <w:rPr>
          <w:rFonts w:ascii="Arial" w:hAnsi="Arial" w:cs="Arial"/>
          <w:sz w:val="20"/>
          <w:szCs w:val="20"/>
        </w:rPr>
        <w:t xml:space="preserve"> size shall be a full tanker 4500 gallons, unless smaller amount ordered. Delivery is subject to owner’s approval and must be made within 72 hours after notification of order.</w:t>
      </w:r>
    </w:p>
    <w:p w:rsidR="005E5E1D" w:rsidRPr="00DD4B6E" w:rsidRDefault="005E5E1D" w:rsidP="005E5E1D">
      <w:pPr>
        <w:shd w:val="clear" w:color="auto" w:fill="FFFFFF"/>
        <w:rPr>
          <w:rFonts w:ascii="Arial" w:hAnsi="Arial" w:cs="Arial"/>
          <w:color w:val="000000"/>
          <w:shd w:val="clear" w:color="auto" w:fill="FFFFFF"/>
        </w:rPr>
      </w:pPr>
      <w:r w:rsidRPr="00DD4B6E">
        <w:rPr>
          <w:rFonts w:ascii="Arial" w:hAnsi="Arial" w:cs="Arial"/>
          <w:color w:val="000000"/>
          <w:shd w:val="clear" w:color="auto" w:fill="FFFFFF"/>
        </w:rPr>
        <w:t> </w:t>
      </w:r>
    </w:p>
    <w:p w:rsidR="005E5E1D" w:rsidRPr="0023013E" w:rsidRDefault="005E5E1D" w:rsidP="00E96487">
      <w:pPr>
        <w:pStyle w:val="ListParagraph"/>
        <w:numPr>
          <w:ilvl w:val="0"/>
          <w:numId w:val="13"/>
        </w:numPr>
        <w:shd w:val="clear" w:color="auto" w:fill="FFFFFF"/>
        <w:jc w:val="both"/>
        <w:rPr>
          <w:rFonts w:ascii="Arial" w:hAnsi="Arial" w:cs="Arial"/>
          <w:sz w:val="20"/>
        </w:rPr>
      </w:pPr>
      <w:r w:rsidRPr="0023013E">
        <w:rPr>
          <w:rFonts w:ascii="Arial" w:hAnsi="Arial"/>
          <w:sz w:val="20"/>
          <w:szCs w:val="20"/>
          <w:u w:val="single"/>
        </w:rPr>
        <w:t xml:space="preserve">Estimated Yearly </w:t>
      </w:r>
      <w:r w:rsidRPr="0023013E">
        <w:rPr>
          <w:rFonts w:ascii="Arial" w:hAnsi="Arial"/>
          <w:sz w:val="20"/>
          <w:szCs w:val="20"/>
        </w:rPr>
        <w:t>Usage</w:t>
      </w:r>
      <w:proofErr w:type="gramStart"/>
      <w:r w:rsidRPr="0023013E">
        <w:rPr>
          <w:rFonts w:ascii="Arial" w:hAnsi="Arial"/>
          <w:sz w:val="20"/>
          <w:szCs w:val="20"/>
        </w:rPr>
        <w:t xml:space="preserve">-  </w:t>
      </w:r>
      <w:r w:rsidRPr="0023013E">
        <w:rPr>
          <w:rFonts w:ascii="Arial" w:hAnsi="Arial"/>
          <w:sz w:val="20"/>
        </w:rPr>
        <w:t>Verona</w:t>
      </w:r>
      <w:proofErr w:type="gramEnd"/>
      <w:r w:rsidRPr="0023013E">
        <w:rPr>
          <w:rFonts w:ascii="Arial" w:hAnsi="Arial"/>
          <w:sz w:val="20"/>
        </w:rPr>
        <w:t xml:space="preserve"> Pumping Station - </w:t>
      </w:r>
      <w:r w:rsidRPr="0023013E">
        <w:rPr>
          <w:rFonts w:ascii="Arial" w:hAnsi="Arial" w:cs="Arial"/>
          <w:sz w:val="20"/>
        </w:rPr>
        <w:t>60,000 Gallons/ 600,000 Lbs.</w:t>
      </w:r>
    </w:p>
    <w:p w:rsidR="005E5E1D" w:rsidRDefault="005E5E1D" w:rsidP="005E5E1D">
      <w:pPr>
        <w:pStyle w:val="ListParagraph"/>
        <w:numPr>
          <w:ilvl w:val="0"/>
          <w:numId w:val="13"/>
        </w:numPr>
        <w:shd w:val="clear" w:color="auto" w:fill="FFFFFF"/>
        <w:spacing w:before="180"/>
        <w:ind w:right="540"/>
        <w:rPr>
          <w:rFonts w:ascii="Arial" w:hAnsi="Arial" w:cs="Arial"/>
          <w:color w:val="000000"/>
          <w:sz w:val="20"/>
          <w:szCs w:val="20"/>
          <w:shd w:val="clear" w:color="auto" w:fill="FFFFFF"/>
        </w:rPr>
      </w:pPr>
      <w:r w:rsidRPr="00382904">
        <w:rPr>
          <w:rFonts w:ascii="Arial" w:hAnsi="Arial"/>
          <w:sz w:val="20"/>
          <w:szCs w:val="20"/>
          <w:u w:val="single"/>
        </w:rPr>
        <w:t xml:space="preserve">Unloading </w:t>
      </w:r>
      <w:proofErr w:type="spellStart"/>
      <w:r w:rsidRPr="00382904">
        <w:rPr>
          <w:rFonts w:ascii="Arial" w:hAnsi="Arial"/>
          <w:sz w:val="20"/>
          <w:szCs w:val="20"/>
          <w:u w:val="single"/>
        </w:rPr>
        <w:t>Proceedure</w:t>
      </w:r>
      <w:proofErr w:type="spellEnd"/>
      <w:r>
        <w:rPr>
          <w:rFonts w:ascii="Arial" w:hAnsi="Arial"/>
          <w:sz w:val="20"/>
          <w:szCs w:val="20"/>
          <w:u w:val="single"/>
        </w:rPr>
        <w:t xml:space="preserve">- </w:t>
      </w:r>
      <w:r>
        <w:rPr>
          <w:rFonts w:ascii="Arial" w:hAnsi="Arial" w:cs="Arial"/>
          <w:color w:val="000000"/>
          <w:sz w:val="20"/>
          <w:szCs w:val="20"/>
          <w:shd w:val="clear" w:color="auto" w:fill="FFFFFF"/>
        </w:rPr>
        <w:t>Contractor</w:t>
      </w:r>
      <w:r w:rsidRPr="00382904">
        <w:rPr>
          <w:rFonts w:ascii="Arial" w:hAnsi="Arial" w:cs="Arial"/>
          <w:color w:val="000000"/>
          <w:sz w:val="20"/>
          <w:szCs w:val="20"/>
          <w:shd w:val="clear" w:color="auto" w:fill="FFFFFF"/>
        </w:rPr>
        <w:t xml:space="preserve"> using air</w:t>
      </w:r>
      <w:r>
        <w:rPr>
          <w:rFonts w:ascii="Arial" w:hAnsi="Arial" w:cs="Arial"/>
          <w:color w:val="000000"/>
          <w:sz w:val="20"/>
          <w:szCs w:val="20"/>
          <w:shd w:val="clear" w:color="auto" w:fill="FFFFFF"/>
        </w:rPr>
        <w:t xml:space="preserve"> loading </w:t>
      </w:r>
      <w:r w:rsidRPr="00382904">
        <w:rPr>
          <w:rFonts w:ascii="Arial" w:hAnsi="Arial" w:cs="Arial"/>
          <w:color w:val="000000"/>
          <w:sz w:val="20"/>
          <w:szCs w:val="20"/>
          <w:shd w:val="clear" w:color="auto" w:fill="FFFFFF"/>
        </w:rPr>
        <w:t>for the transfer of product from the delivery vehicle to the bulk storage tanks at the Verona Pumping Stations are responsible for monitoring the transfer operation at all times and not allowing the compressed air in the delivery tank to enter the bulk storage tanks.</w:t>
      </w:r>
    </w:p>
    <w:p w:rsidR="005E5E1D" w:rsidRDefault="005E5E1D" w:rsidP="005E5E1D">
      <w:pPr>
        <w:pStyle w:val="ListParagraph"/>
        <w:shd w:val="clear" w:color="auto" w:fill="FFFFFF"/>
        <w:spacing w:before="180"/>
        <w:ind w:right="540"/>
        <w:rPr>
          <w:rFonts w:ascii="Arial" w:hAnsi="Arial" w:cs="Arial"/>
          <w:color w:val="000000"/>
          <w:sz w:val="20"/>
          <w:szCs w:val="20"/>
          <w:shd w:val="clear" w:color="auto" w:fill="FFFFFF"/>
        </w:rPr>
      </w:pPr>
      <w:r w:rsidRPr="00382904">
        <w:rPr>
          <w:rFonts w:ascii="Arial" w:hAnsi="Arial" w:cs="Arial"/>
          <w:color w:val="000000"/>
          <w:sz w:val="20"/>
          <w:szCs w:val="20"/>
          <w:shd w:val="clear" w:color="auto" w:fill="FFFFFF"/>
        </w:rPr>
        <w:t>Failure to monitor and prevent this action will result in the vendor being responsible for inspections and repair or replacement of any damage caused to the bulk storage tanks.</w:t>
      </w:r>
    </w:p>
    <w:p w:rsidR="00636309" w:rsidRPr="00636309" w:rsidRDefault="005E5E1D" w:rsidP="00636309">
      <w:pPr>
        <w:pStyle w:val="ListParagraph"/>
        <w:numPr>
          <w:ilvl w:val="0"/>
          <w:numId w:val="13"/>
        </w:numPr>
        <w:shd w:val="clear" w:color="auto" w:fill="FFFFFF"/>
        <w:spacing w:before="180"/>
        <w:ind w:right="540"/>
        <w:rPr>
          <w:rFonts w:ascii="Arial" w:hAnsi="Arial" w:cs="Arial"/>
          <w:color w:val="000000"/>
          <w:sz w:val="20"/>
          <w:szCs w:val="20"/>
          <w:shd w:val="clear" w:color="auto" w:fill="FFFFFF"/>
        </w:rPr>
      </w:pPr>
      <w:r w:rsidRPr="00670FB7">
        <w:rPr>
          <w:rFonts w:ascii="Arial" w:hAnsi="Arial"/>
          <w:sz w:val="20"/>
          <w:u w:val="single"/>
        </w:rPr>
        <w:t>Delivery Address-</w:t>
      </w:r>
      <w:r w:rsidRPr="00670FB7">
        <w:rPr>
          <w:rFonts w:ascii="Arial" w:hAnsi="Arial"/>
          <w:sz w:val="20"/>
        </w:rPr>
        <w:t xml:space="preserve">  Verona Pumping Station 250 </w:t>
      </w:r>
      <w:proofErr w:type="spellStart"/>
      <w:r w:rsidRPr="00670FB7">
        <w:rPr>
          <w:rFonts w:ascii="Arial" w:hAnsi="Arial"/>
          <w:sz w:val="20"/>
        </w:rPr>
        <w:t>Brigden</w:t>
      </w:r>
      <w:proofErr w:type="spellEnd"/>
      <w:r w:rsidRPr="00670FB7">
        <w:rPr>
          <w:rFonts w:ascii="Arial" w:hAnsi="Arial"/>
          <w:sz w:val="20"/>
        </w:rPr>
        <w:t xml:space="preserve"> </w:t>
      </w:r>
      <w:proofErr w:type="spellStart"/>
      <w:r w:rsidRPr="00670FB7">
        <w:rPr>
          <w:rFonts w:ascii="Arial" w:hAnsi="Arial"/>
          <w:sz w:val="20"/>
        </w:rPr>
        <w:t>Dr</w:t>
      </w:r>
      <w:proofErr w:type="spellEnd"/>
      <w:r w:rsidRPr="00670FB7">
        <w:rPr>
          <w:rFonts w:ascii="Arial" w:hAnsi="Arial"/>
          <w:sz w:val="20"/>
        </w:rPr>
        <w:t>, Battle Creek, MI 49014</w:t>
      </w:r>
    </w:p>
    <w:p w:rsidR="00636309" w:rsidRPr="00636309" w:rsidRDefault="00875284" w:rsidP="00636309">
      <w:pPr>
        <w:pStyle w:val="ListParagraph"/>
        <w:numPr>
          <w:ilvl w:val="0"/>
          <w:numId w:val="13"/>
        </w:numPr>
        <w:shd w:val="clear" w:color="auto" w:fill="FFFFFF"/>
        <w:spacing w:before="180"/>
        <w:ind w:right="540"/>
        <w:rPr>
          <w:rFonts w:ascii="Arial" w:hAnsi="Arial" w:cs="Arial"/>
          <w:color w:val="000000"/>
          <w:sz w:val="20"/>
          <w:szCs w:val="20"/>
          <w:shd w:val="clear" w:color="auto" w:fill="FFFFFF"/>
        </w:rPr>
      </w:pPr>
      <w:r>
        <w:rPr>
          <w:rFonts w:ascii="Arial" w:hAnsi="Arial"/>
          <w:sz w:val="20"/>
        </w:rPr>
        <w:t>Quantity is</w:t>
      </w:r>
      <w:r w:rsidR="00636309">
        <w:rPr>
          <w:rFonts w:ascii="Arial" w:hAnsi="Arial"/>
          <w:sz w:val="20"/>
        </w:rPr>
        <w:t xml:space="preserve"> estimated</w:t>
      </w:r>
      <w:r w:rsidR="005E5E1D" w:rsidRPr="00636309">
        <w:rPr>
          <w:rFonts w:ascii="Arial" w:hAnsi="Arial"/>
          <w:sz w:val="20"/>
        </w:rPr>
        <w:t xml:space="preserve"> and do not represent a guaranteed minimum purchase commitment by the City.</w:t>
      </w:r>
    </w:p>
    <w:p w:rsidR="00636309" w:rsidRPr="00636309" w:rsidRDefault="005E5E1D" w:rsidP="00636309">
      <w:pPr>
        <w:pStyle w:val="ListParagraph"/>
        <w:numPr>
          <w:ilvl w:val="0"/>
          <w:numId w:val="13"/>
        </w:numPr>
        <w:shd w:val="clear" w:color="auto" w:fill="FFFFFF"/>
        <w:spacing w:before="180"/>
        <w:ind w:right="540"/>
        <w:rPr>
          <w:rFonts w:ascii="Arial" w:hAnsi="Arial" w:cs="Arial"/>
          <w:color w:val="000000"/>
          <w:sz w:val="20"/>
          <w:szCs w:val="20"/>
          <w:shd w:val="clear" w:color="auto" w:fill="FFFFFF"/>
        </w:rPr>
      </w:pPr>
      <w:r w:rsidRPr="00636309">
        <w:rPr>
          <w:rFonts w:ascii="Arial" w:hAnsi="Arial"/>
          <w:sz w:val="20"/>
        </w:rPr>
        <w:t>Unit price shall be F.O.B. destination, freight included in pri</w:t>
      </w:r>
      <w:r w:rsidR="00636309">
        <w:rPr>
          <w:rFonts w:ascii="Arial" w:hAnsi="Arial"/>
          <w:sz w:val="20"/>
        </w:rPr>
        <w:t>ce.</w:t>
      </w:r>
    </w:p>
    <w:p w:rsidR="005E5E1D" w:rsidRPr="00636309" w:rsidRDefault="005E5E1D" w:rsidP="00636309">
      <w:pPr>
        <w:pStyle w:val="ListParagraph"/>
        <w:numPr>
          <w:ilvl w:val="0"/>
          <w:numId w:val="13"/>
        </w:numPr>
        <w:shd w:val="clear" w:color="auto" w:fill="FFFFFF"/>
        <w:spacing w:before="180"/>
        <w:ind w:right="540"/>
        <w:rPr>
          <w:rFonts w:ascii="Arial" w:hAnsi="Arial" w:cs="Arial"/>
          <w:color w:val="000000"/>
          <w:sz w:val="20"/>
          <w:szCs w:val="20"/>
          <w:shd w:val="clear" w:color="auto" w:fill="FFFFFF"/>
        </w:rPr>
      </w:pPr>
      <w:r w:rsidRPr="00636309">
        <w:rPr>
          <w:rFonts w:ascii="Arial" w:hAnsi="Arial"/>
          <w:sz w:val="20"/>
        </w:rPr>
        <w:t>Unit pr</w:t>
      </w:r>
      <w:r w:rsidR="0065578B" w:rsidRPr="00636309">
        <w:rPr>
          <w:rFonts w:ascii="Arial" w:hAnsi="Arial"/>
          <w:sz w:val="20"/>
        </w:rPr>
        <w:t xml:space="preserve">ice shall include fuel charges.  </w:t>
      </w:r>
      <w:r w:rsidR="00222F1D" w:rsidRPr="00636309">
        <w:rPr>
          <w:rFonts w:ascii="Arial" w:hAnsi="Arial"/>
          <w:sz w:val="20"/>
        </w:rPr>
        <w:t>Separate f</w:t>
      </w:r>
      <w:r w:rsidR="0065578B" w:rsidRPr="00636309">
        <w:rPr>
          <w:rFonts w:ascii="Arial" w:hAnsi="Arial"/>
          <w:sz w:val="20"/>
        </w:rPr>
        <w:t>uel charges are not al</w:t>
      </w:r>
      <w:r w:rsidR="00832142" w:rsidRPr="00636309">
        <w:rPr>
          <w:rFonts w:ascii="Arial" w:hAnsi="Arial"/>
          <w:sz w:val="20"/>
        </w:rPr>
        <w:t xml:space="preserve">lowed to be added to invoices.  </w:t>
      </w:r>
    </w:p>
    <w:p w:rsidR="00CC08A0" w:rsidRPr="00DC0C3F" w:rsidRDefault="005E5E1D" w:rsidP="00ED1094">
      <w:pPr>
        <w:pStyle w:val="Heading3"/>
        <w:rPr>
          <w:rFonts w:eastAsia="MS Mincho"/>
        </w:rPr>
      </w:pPr>
      <w:r>
        <w:rPr>
          <w:rFonts w:eastAsia="MS Mincho"/>
          <w:sz w:val="18"/>
        </w:rPr>
        <w:br w:type="page"/>
      </w:r>
      <w:r w:rsidR="00CC08A0" w:rsidRPr="00DC0C3F">
        <w:rPr>
          <w:rFonts w:eastAsia="MS Mincho"/>
        </w:rPr>
        <w:lastRenderedPageBreak/>
        <w:t>PRICE SHEET</w:t>
      </w:r>
    </w:p>
    <w:p w:rsidR="00CC08A0" w:rsidRPr="00DC0C3F" w:rsidRDefault="00CC08A0">
      <w:pPr>
        <w:pStyle w:val="PlainText"/>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5E5E1D" w:rsidRDefault="005E5E1D" w:rsidP="005E5E1D">
      <w:pPr>
        <w:pStyle w:val="PlainText"/>
        <w:rPr>
          <w:rFonts w:ascii="Arial" w:eastAsia="MS Mincho" w:hAnsi="Arial" w:cs="Arial"/>
          <w:sz w:val="18"/>
        </w:rPr>
      </w:pPr>
    </w:p>
    <w:p w:rsidR="005E5E1D" w:rsidRDefault="005E5E1D" w:rsidP="005E5E1D">
      <w:pPr>
        <w:pStyle w:val="DWSty2"/>
        <w:tabs>
          <w:tab w:val="left" w:pos="540"/>
          <w:tab w:val="left" w:pos="4140"/>
          <w:tab w:val="left" w:pos="5040"/>
          <w:tab w:val="left" w:pos="7020"/>
          <w:tab w:val="left" w:pos="9000"/>
        </w:tabs>
        <w:spacing w:line="240" w:lineRule="auto"/>
        <w:jc w:val="both"/>
        <w:rPr>
          <w:rFonts w:ascii="Arial" w:hAnsi="Arial"/>
          <w:b/>
          <w:bCs/>
          <w:sz w:val="20"/>
        </w:rPr>
      </w:pPr>
      <w:r w:rsidRPr="00ED1094">
        <w:rPr>
          <w:rFonts w:ascii="Arial" w:hAnsi="Arial"/>
          <w:b/>
          <w:bCs/>
          <w:sz w:val="20"/>
          <w:u w:val="single"/>
        </w:rPr>
        <w:t>Item</w:t>
      </w:r>
      <w:r w:rsidRPr="00ED1094">
        <w:rPr>
          <w:rFonts w:ascii="Arial" w:hAnsi="Arial"/>
          <w:b/>
          <w:bCs/>
          <w:sz w:val="20"/>
          <w:u w:val="single"/>
        </w:rPr>
        <w:tab/>
        <w:t>Description</w:t>
      </w:r>
      <w:r>
        <w:rPr>
          <w:rFonts w:ascii="Arial" w:hAnsi="Arial"/>
          <w:b/>
          <w:bCs/>
          <w:sz w:val="20"/>
        </w:rPr>
        <w:tab/>
      </w:r>
      <w:proofErr w:type="spellStart"/>
      <w:r w:rsidRPr="00ED1094">
        <w:rPr>
          <w:rFonts w:ascii="Arial" w:hAnsi="Arial"/>
          <w:b/>
          <w:bCs/>
          <w:sz w:val="20"/>
          <w:u w:val="single"/>
        </w:rPr>
        <w:t>Qty</w:t>
      </w:r>
      <w:proofErr w:type="spellEnd"/>
      <w:r>
        <w:rPr>
          <w:rFonts w:ascii="Arial" w:hAnsi="Arial"/>
          <w:b/>
          <w:bCs/>
          <w:sz w:val="20"/>
        </w:rPr>
        <w:tab/>
      </w:r>
      <w:r w:rsidRPr="00ED1094">
        <w:rPr>
          <w:rFonts w:ascii="Arial" w:hAnsi="Arial"/>
          <w:b/>
          <w:bCs/>
          <w:sz w:val="20"/>
          <w:u w:val="single"/>
        </w:rPr>
        <w:t>Unit Price</w:t>
      </w:r>
      <w:r>
        <w:rPr>
          <w:rFonts w:ascii="Arial" w:hAnsi="Arial"/>
          <w:b/>
          <w:bCs/>
          <w:sz w:val="20"/>
        </w:rPr>
        <w:tab/>
      </w:r>
      <w:r w:rsidRPr="00ED1094">
        <w:rPr>
          <w:rFonts w:ascii="Arial" w:hAnsi="Arial"/>
          <w:b/>
          <w:bCs/>
          <w:sz w:val="20"/>
          <w:u w:val="single"/>
        </w:rPr>
        <w:t>Total One-Year Price</w:t>
      </w:r>
      <w:r>
        <w:rPr>
          <w:rFonts w:ascii="Arial" w:hAnsi="Arial"/>
          <w:b/>
          <w:bCs/>
          <w:sz w:val="20"/>
        </w:rPr>
        <w:tab/>
      </w:r>
    </w:p>
    <w:p w:rsidR="005E5E1D" w:rsidRDefault="005E5E1D" w:rsidP="005E5E1D">
      <w:pPr>
        <w:pStyle w:val="DWSty2"/>
        <w:tabs>
          <w:tab w:val="left" w:pos="540"/>
          <w:tab w:val="left" w:pos="4140"/>
          <w:tab w:val="left" w:pos="5040"/>
          <w:tab w:val="left" w:pos="7020"/>
          <w:tab w:val="left" w:pos="9000"/>
        </w:tabs>
        <w:spacing w:line="240" w:lineRule="auto"/>
        <w:jc w:val="both"/>
        <w:rPr>
          <w:rFonts w:ascii="Arial" w:hAnsi="Arial"/>
          <w:sz w:val="20"/>
        </w:rPr>
      </w:pPr>
    </w:p>
    <w:p w:rsidR="005E5E1D" w:rsidRPr="00CF38C0" w:rsidRDefault="005E5E1D" w:rsidP="005E5E1D">
      <w:pPr>
        <w:pStyle w:val="PlainText"/>
        <w:rPr>
          <w:rFonts w:ascii="Arial" w:hAnsi="Arial"/>
        </w:rPr>
      </w:pPr>
    </w:p>
    <w:p w:rsidR="005E5E1D" w:rsidRDefault="005E5E1D" w:rsidP="005E5E1D">
      <w:pPr>
        <w:pStyle w:val="DWSty2"/>
        <w:tabs>
          <w:tab w:val="left" w:pos="540"/>
          <w:tab w:val="left" w:pos="4140"/>
          <w:tab w:val="left" w:pos="5040"/>
          <w:tab w:val="left" w:pos="7020"/>
          <w:tab w:val="left" w:pos="9000"/>
        </w:tabs>
        <w:spacing w:line="240" w:lineRule="auto"/>
        <w:jc w:val="both"/>
        <w:rPr>
          <w:rFonts w:ascii="Arial" w:hAnsi="Arial"/>
          <w:sz w:val="20"/>
        </w:rPr>
      </w:pPr>
      <w:r>
        <w:rPr>
          <w:rFonts w:ascii="Arial" w:hAnsi="Arial"/>
          <w:b/>
          <w:bCs/>
          <w:sz w:val="20"/>
        </w:rPr>
        <w:t>A</w:t>
      </w:r>
      <w:r w:rsidRPr="00CF38C0">
        <w:rPr>
          <w:rFonts w:ascii="Arial" w:hAnsi="Arial"/>
          <w:b/>
          <w:bCs/>
          <w:sz w:val="20"/>
        </w:rPr>
        <w:t>.</w:t>
      </w:r>
      <w:r w:rsidRPr="00CF38C0">
        <w:rPr>
          <w:rFonts w:ascii="Arial" w:hAnsi="Arial"/>
          <w:b/>
          <w:sz w:val="20"/>
        </w:rPr>
        <w:tab/>
        <w:t>Sodium Hypochlorite, bulk in gallons</w:t>
      </w:r>
      <w:r>
        <w:rPr>
          <w:rFonts w:ascii="Arial" w:hAnsi="Arial"/>
          <w:sz w:val="20"/>
        </w:rPr>
        <w:tab/>
      </w:r>
      <w:proofErr w:type="gramStart"/>
      <w:r>
        <w:rPr>
          <w:rFonts w:ascii="Arial" w:hAnsi="Arial"/>
          <w:sz w:val="20"/>
        </w:rPr>
        <w:t>60,000  x</w:t>
      </w:r>
      <w:proofErr w:type="gramEnd"/>
      <w:r>
        <w:rPr>
          <w:rFonts w:ascii="Arial" w:hAnsi="Arial"/>
          <w:sz w:val="20"/>
        </w:rPr>
        <w:tab/>
        <w:t xml:space="preserve">$__________/gal  =   $_______________   </w:t>
      </w: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Prices shall be all-inclusive to include, but not limited to, the following: shipping, travel, time, materials, overhead, etc.</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color w:val="262626" w:themeColor="text1" w:themeTint="D9"/>
          <w:sz w:val="18"/>
          <w:szCs w:val="20"/>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5E5E1D">
        <w:rPr>
          <w:rFonts w:ascii="Arial" w:eastAsia="MS Mincho" w:hAnsi="Arial" w:cs="Arial"/>
          <w:b/>
          <w:bCs/>
          <w:color w:val="262626" w:themeColor="text1" w:themeTint="D9"/>
          <w:sz w:val="22"/>
          <w:u w:val="single"/>
        </w:rPr>
        <w:t>2019-003B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bookmarkStart w:id="0" w:name="_GoBack"/>
      <w:bookmarkEnd w:id="0"/>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1D" w:rsidRDefault="005E5E1D">
      <w:r>
        <w:separator/>
      </w:r>
    </w:p>
  </w:endnote>
  <w:endnote w:type="continuationSeparator" w:id="0">
    <w:p w:rsidR="005E5E1D" w:rsidRDefault="005E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1D" w:rsidRDefault="005E5E1D">
      <w:r>
        <w:separator/>
      </w:r>
    </w:p>
  </w:footnote>
  <w:footnote w:type="continuationSeparator" w:id="0">
    <w:p w:rsidR="005E5E1D" w:rsidRDefault="005E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5E5E1D">
      <w:rPr>
        <w:rFonts w:ascii="Arial" w:hAnsi="Arial" w:cs="Arial"/>
        <w:sz w:val="16"/>
      </w:rPr>
      <w:t xml:space="preserve"> 2019-003B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846A2">
      <w:rPr>
        <w:rStyle w:val="PageNumber"/>
        <w:rFonts w:ascii="Arial" w:hAnsi="Arial" w:cs="Arial"/>
        <w:noProof/>
        <w:sz w:val="16"/>
      </w:rPr>
      <w:t>7</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846A2">
      <w:rPr>
        <w:rStyle w:val="PageNumber"/>
        <w:rFonts w:ascii="Arial" w:hAnsi="Arial" w:cs="Arial"/>
        <w:noProof/>
        <w:sz w:val="16"/>
      </w:rPr>
      <w:t>10</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6"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5A7EDB"/>
    <w:multiLevelType w:val="hybridMultilevel"/>
    <w:tmpl w:val="9A786D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5FB8585A"/>
    <w:multiLevelType w:val="hybridMultilevel"/>
    <w:tmpl w:val="DEC4A032"/>
    <w:lvl w:ilvl="0" w:tplc="50486BE4">
      <w:start w:val="1"/>
      <w:numFmt w:val="decimal"/>
      <w:lvlText w:val="%1."/>
      <w:lvlJc w:val="left"/>
      <w:pPr>
        <w:ind w:left="720" w:hanging="36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0"/>
  </w:num>
  <w:num w:numId="12">
    <w:abstractNumId w:val="7"/>
  </w:num>
  <w:num w:numId="13">
    <w:abstractNumId w:val="9"/>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1D"/>
    <w:rsid w:val="00010C92"/>
    <w:rsid w:val="00013EF6"/>
    <w:rsid w:val="0009746F"/>
    <w:rsid w:val="00097CCD"/>
    <w:rsid w:val="000B5749"/>
    <w:rsid w:val="00170A3C"/>
    <w:rsid w:val="001E5CDC"/>
    <w:rsid w:val="00222F1D"/>
    <w:rsid w:val="0023013E"/>
    <w:rsid w:val="00247F82"/>
    <w:rsid w:val="002918BD"/>
    <w:rsid w:val="003B0925"/>
    <w:rsid w:val="003E7276"/>
    <w:rsid w:val="003F2CB3"/>
    <w:rsid w:val="00484D9B"/>
    <w:rsid w:val="004E579C"/>
    <w:rsid w:val="004E7D12"/>
    <w:rsid w:val="00535F44"/>
    <w:rsid w:val="005779A3"/>
    <w:rsid w:val="005A3556"/>
    <w:rsid w:val="005E5E1D"/>
    <w:rsid w:val="006021EA"/>
    <w:rsid w:val="00636309"/>
    <w:rsid w:val="006436F7"/>
    <w:rsid w:val="0065578B"/>
    <w:rsid w:val="006B4A7A"/>
    <w:rsid w:val="00751D8C"/>
    <w:rsid w:val="00772D02"/>
    <w:rsid w:val="00772D28"/>
    <w:rsid w:val="0077775E"/>
    <w:rsid w:val="00781EF5"/>
    <w:rsid w:val="007D22BC"/>
    <w:rsid w:val="00832142"/>
    <w:rsid w:val="00875284"/>
    <w:rsid w:val="008B4F9F"/>
    <w:rsid w:val="008E288F"/>
    <w:rsid w:val="00912C01"/>
    <w:rsid w:val="009932E3"/>
    <w:rsid w:val="009C165B"/>
    <w:rsid w:val="009E0062"/>
    <w:rsid w:val="00A4480D"/>
    <w:rsid w:val="00A9771B"/>
    <w:rsid w:val="00AA1855"/>
    <w:rsid w:val="00AE497A"/>
    <w:rsid w:val="00C84ECC"/>
    <w:rsid w:val="00C9535A"/>
    <w:rsid w:val="00CC08A0"/>
    <w:rsid w:val="00CF61B0"/>
    <w:rsid w:val="00D03DC4"/>
    <w:rsid w:val="00D05676"/>
    <w:rsid w:val="00D7743E"/>
    <w:rsid w:val="00D77803"/>
    <w:rsid w:val="00D846A2"/>
    <w:rsid w:val="00D93966"/>
    <w:rsid w:val="00DC0C3F"/>
    <w:rsid w:val="00E2467E"/>
    <w:rsid w:val="00ED1094"/>
    <w:rsid w:val="00F07AAC"/>
    <w:rsid w:val="00F11D15"/>
    <w:rsid w:val="00F228AC"/>
    <w:rsid w:val="00F34F95"/>
    <w:rsid w:val="00F43E0A"/>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C3C2D9"/>
  <w15:docId w15:val="{0BA91AFC-5672-444A-A624-2005A374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36F8-1FD5-4712-B513-4FBF8F44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17</TotalTime>
  <Pages>10</Pages>
  <Words>4827</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30907</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11</cp:revision>
  <cp:lastPrinted>2016-03-23T16:19:00Z</cp:lastPrinted>
  <dcterms:created xsi:type="dcterms:W3CDTF">2018-08-08T19:02:00Z</dcterms:created>
  <dcterms:modified xsi:type="dcterms:W3CDTF">2018-08-09T13:27:00Z</dcterms:modified>
</cp:coreProperties>
</file>