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42A2EE3D" w:rsidR="001959B9" w:rsidRDefault="001959B9" w:rsidP="001959B9">
      <w:pPr>
        <w:spacing w:after="0" w:line="240" w:lineRule="auto"/>
        <w:rPr>
          <w:sz w:val="32"/>
          <w:szCs w:val="32"/>
        </w:rPr>
      </w:pPr>
      <w:r w:rsidRPr="00F076A5">
        <w:rPr>
          <w:sz w:val="32"/>
          <w:szCs w:val="32"/>
        </w:rPr>
        <w:t>Request for Bid</w:t>
      </w:r>
    </w:p>
    <w:p w14:paraId="7F9A7292" w14:textId="600E50AE" w:rsidR="004554C4" w:rsidRPr="001A15B1" w:rsidRDefault="008F0E0D" w:rsidP="001959B9">
      <w:pPr>
        <w:spacing w:after="0" w:line="240" w:lineRule="auto"/>
        <w:rPr>
          <w:sz w:val="20"/>
          <w:szCs w:val="20"/>
        </w:rPr>
      </w:pPr>
      <w:r>
        <w:rPr>
          <w:sz w:val="20"/>
          <w:szCs w:val="20"/>
        </w:rPr>
        <w:t>Relocate Sewer Line</w:t>
      </w:r>
      <w:r w:rsidR="004554C4" w:rsidRPr="001A15B1">
        <w:rPr>
          <w:sz w:val="20"/>
          <w:szCs w:val="20"/>
        </w:rPr>
        <w:t xml:space="preserve"> </w:t>
      </w:r>
    </w:p>
    <w:p w14:paraId="33A1132D" w14:textId="67149092" w:rsidR="004554C4" w:rsidRPr="001A15B1" w:rsidRDefault="008F0E0D" w:rsidP="001959B9">
      <w:pPr>
        <w:spacing w:after="0" w:line="240" w:lineRule="auto"/>
        <w:rPr>
          <w:sz w:val="20"/>
          <w:szCs w:val="20"/>
        </w:rPr>
      </w:pPr>
      <w:r>
        <w:rPr>
          <w:sz w:val="20"/>
          <w:szCs w:val="20"/>
        </w:rPr>
        <w:t>Spaniel Drive</w:t>
      </w:r>
    </w:p>
    <w:p w14:paraId="6D2184F3" w14:textId="0A3FFBF4"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8F0E0D">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F0E0D">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w:t>
      </w:r>
    </w:p>
    <w:p w14:paraId="2A8099F6" w14:textId="77777777" w:rsidR="00027639" w:rsidRDefault="00027639" w:rsidP="001959B9">
      <w:pPr>
        <w:jc w:val="center"/>
        <w:rPr>
          <w:sz w:val="36"/>
          <w:szCs w:val="36"/>
        </w:rPr>
      </w:pPr>
    </w:p>
    <w:p w14:paraId="2EA27518" w14:textId="2C73DC23" w:rsidR="001959B9" w:rsidRPr="000667E6" w:rsidRDefault="004554C4" w:rsidP="001959B9">
      <w:pPr>
        <w:jc w:val="center"/>
        <w:rPr>
          <w:sz w:val="36"/>
          <w:szCs w:val="36"/>
        </w:rPr>
      </w:pPr>
      <w:r>
        <w:rPr>
          <w:sz w:val="36"/>
          <w:szCs w:val="36"/>
        </w:rPr>
        <w:t>Scope of Work</w:t>
      </w:r>
    </w:p>
    <w:p w14:paraId="29F88474" w14:textId="2972DC7B" w:rsidR="00A87A1A" w:rsidRDefault="00A87A1A"/>
    <w:p w14:paraId="3747B76F" w14:textId="00E407C0" w:rsidR="0015076F" w:rsidRDefault="00C96F7B">
      <w:r>
        <w:t xml:space="preserve">The scope of work shall consist of the </w:t>
      </w:r>
      <w:r w:rsidR="008F0E0D">
        <w:t>relocation of approximately 300 feet of sewer line in the Spaniel Drive area.</w:t>
      </w:r>
      <w:r w:rsidR="003C4086">
        <w:t xml:space="preserve"> A drawing of the area with approximate locations and figures is attached. </w:t>
      </w:r>
    </w:p>
    <w:p w14:paraId="5A0FEFB0" w14:textId="306B2BB9" w:rsidR="0011634F" w:rsidRDefault="0011634F"/>
    <w:tbl>
      <w:tblPr>
        <w:tblW w:w="10170" w:type="dxa"/>
        <w:jc w:val="center"/>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CellMar>
          <w:left w:w="0" w:type="dxa"/>
          <w:right w:w="0" w:type="dxa"/>
        </w:tblCellMar>
        <w:tblLook w:val="01E0" w:firstRow="1" w:lastRow="1" w:firstColumn="1" w:lastColumn="1" w:noHBand="0" w:noVBand="0"/>
      </w:tblPr>
      <w:tblGrid>
        <w:gridCol w:w="720"/>
        <w:gridCol w:w="4566"/>
        <w:gridCol w:w="1260"/>
        <w:gridCol w:w="1080"/>
        <w:gridCol w:w="1260"/>
        <w:gridCol w:w="1284"/>
      </w:tblGrid>
      <w:tr w:rsidR="0011634F" w:rsidRPr="0011634F" w14:paraId="68440B6F" w14:textId="77777777" w:rsidTr="00327F7B">
        <w:trPr>
          <w:trHeight w:hRule="exact" w:val="509"/>
          <w:jc w:val="center"/>
        </w:trPr>
        <w:tc>
          <w:tcPr>
            <w:tcW w:w="720" w:type="dxa"/>
            <w:tcBorders>
              <w:left w:val="nil"/>
              <w:bottom w:val="single" w:sz="12" w:space="0" w:color="000000"/>
              <w:right w:val="single" w:sz="8" w:space="0" w:color="000000"/>
            </w:tcBorders>
            <w:shd w:val="clear" w:color="auto" w:fill="D9E2F3" w:themeFill="accent1" w:themeFillTint="33"/>
            <w:vAlign w:val="center"/>
          </w:tcPr>
          <w:p w14:paraId="76F63E9F" w14:textId="77777777" w:rsidR="0011634F" w:rsidRPr="0011634F" w:rsidRDefault="0011634F" w:rsidP="0011634F">
            <w:pPr>
              <w:widowControl w:val="0"/>
              <w:autoSpaceDE w:val="0"/>
              <w:autoSpaceDN w:val="0"/>
              <w:spacing w:after="0" w:line="202" w:lineRule="exact"/>
              <w:jc w:val="center"/>
              <w:rPr>
                <w:rFonts w:eastAsia="Times New Roman" w:cs="Arial"/>
                <w:sz w:val="20"/>
                <w:szCs w:val="20"/>
              </w:rPr>
            </w:pPr>
            <w:r w:rsidRPr="0011634F">
              <w:rPr>
                <w:rFonts w:eastAsia="Times New Roman" w:cs="Arial"/>
                <w:sz w:val="20"/>
                <w:szCs w:val="20"/>
              </w:rPr>
              <w:t>ITEM</w:t>
            </w:r>
          </w:p>
        </w:tc>
        <w:tc>
          <w:tcPr>
            <w:tcW w:w="4566" w:type="dxa"/>
            <w:tcBorders>
              <w:left w:val="single" w:sz="8" w:space="0" w:color="000000"/>
              <w:bottom w:val="single" w:sz="12" w:space="0" w:color="000000"/>
              <w:right w:val="single" w:sz="8" w:space="0" w:color="000000"/>
            </w:tcBorders>
            <w:shd w:val="clear" w:color="auto" w:fill="D9E2F3" w:themeFill="accent1" w:themeFillTint="33"/>
            <w:vAlign w:val="center"/>
          </w:tcPr>
          <w:p w14:paraId="5FCD553E" w14:textId="4DAEE7DA" w:rsidR="0011634F" w:rsidRPr="0011634F" w:rsidRDefault="0011634F" w:rsidP="00327F7B">
            <w:pPr>
              <w:widowControl w:val="0"/>
              <w:autoSpaceDE w:val="0"/>
              <w:autoSpaceDN w:val="0"/>
              <w:spacing w:after="0" w:line="202" w:lineRule="exact"/>
              <w:jc w:val="center"/>
              <w:rPr>
                <w:rFonts w:eastAsia="Times New Roman" w:cs="Arial"/>
                <w:sz w:val="20"/>
                <w:szCs w:val="20"/>
              </w:rPr>
            </w:pPr>
            <w:r w:rsidRPr="0011634F">
              <w:rPr>
                <w:rFonts w:eastAsia="Times New Roman" w:cs="Arial"/>
                <w:sz w:val="20"/>
                <w:szCs w:val="20"/>
              </w:rPr>
              <w:t>DESCRIPTIO</w:t>
            </w:r>
            <w:r>
              <w:rPr>
                <w:rFonts w:eastAsia="Times New Roman" w:cs="Arial"/>
                <w:sz w:val="20"/>
                <w:szCs w:val="20"/>
              </w:rPr>
              <w:t>N</w:t>
            </w:r>
          </w:p>
        </w:tc>
        <w:tc>
          <w:tcPr>
            <w:tcW w:w="1260" w:type="dxa"/>
            <w:tcBorders>
              <w:left w:val="single" w:sz="8" w:space="0" w:color="000000"/>
              <w:bottom w:val="single" w:sz="12" w:space="0" w:color="000000"/>
              <w:right w:val="single" w:sz="8" w:space="0" w:color="000000"/>
            </w:tcBorders>
            <w:shd w:val="clear" w:color="auto" w:fill="D9E2F3" w:themeFill="accent1" w:themeFillTint="33"/>
            <w:vAlign w:val="center"/>
          </w:tcPr>
          <w:p w14:paraId="634C128C" w14:textId="77777777" w:rsidR="0011634F" w:rsidRPr="0011634F" w:rsidRDefault="0011634F" w:rsidP="0011634F">
            <w:pPr>
              <w:widowControl w:val="0"/>
              <w:autoSpaceDE w:val="0"/>
              <w:autoSpaceDN w:val="0"/>
              <w:spacing w:after="0" w:line="202" w:lineRule="exact"/>
              <w:ind w:left="86"/>
              <w:jc w:val="center"/>
              <w:rPr>
                <w:rFonts w:eastAsia="Times New Roman" w:cs="Arial"/>
                <w:sz w:val="20"/>
                <w:szCs w:val="20"/>
              </w:rPr>
            </w:pPr>
            <w:r w:rsidRPr="0011634F">
              <w:rPr>
                <w:rFonts w:eastAsia="Times New Roman" w:cs="Arial"/>
                <w:sz w:val="20"/>
                <w:szCs w:val="20"/>
              </w:rPr>
              <w:t>QUANTITY</w:t>
            </w:r>
          </w:p>
        </w:tc>
        <w:tc>
          <w:tcPr>
            <w:tcW w:w="1080" w:type="dxa"/>
            <w:tcBorders>
              <w:left w:val="single" w:sz="8" w:space="0" w:color="000000"/>
              <w:bottom w:val="single" w:sz="12" w:space="0" w:color="000000"/>
              <w:right w:val="single" w:sz="8" w:space="0" w:color="000000"/>
            </w:tcBorders>
            <w:shd w:val="clear" w:color="auto" w:fill="D9E2F3" w:themeFill="accent1" w:themeFillTint="33"/>
            <w:vAlign w:val="center"/>
          </w:tcPr>
          <w:p w14:paraId="78707BB1" w14:textId="77777777" w:rsidR="0011634F" w:rsidRPr="0011634F" w:rsidRDefault="0011634F" w:rsidP="0011634F">
            <w:pPr>
              <w:widowControl w:val="0"/>
              <w:autoSpaceDE w:val="0"/>
              <w:autoSpaceDN w:val="0"/>
              <w:spacing w:after="0" w:line="202" w:lineRule="exact"/>
              <w:jc w:val="center"/>
              <w:rPr>
                <w:rFonts w:eastAsia="Times New Roman" w:cs="Arial"/>
                <w:sz w:val="20"/>
                <w:szCs w:val="20"/>
              </w:rPr>
            </w:pPr>
            <w:r w:rsidRPr="0011634F">
              <w:rPr>
                <w:rFonts w:eastAsia="Times New Roman" w:cs="Arial"/>
                <w:sz w:val="20"/>
                <w:szCs w:val="20"/>
              </w:rPr>
              <w:t>UNIT</w:t>
            </w:r>
          </w:p>
        </w:tc>
        <w:tc>
          <w:tcPr>
            <w:tcW w:w="1260" w:type="dxa"/>
            <w:tcBorders>
              <w:left w:val="single" w:sz="8" w:space="0" w:color="000000"/>
              <w:bottom w:val="single" w:sz="12" w:space="0" w:color="000000"/>
              <w:right w:val="single" w:sz="8" w:space="0" w:color="000000"/>
            </w:tcBorders>
            <w:shd w:val="clear" w:color="auto" w:fill="D9E2F3" w:themeFill="accent1" w:themeFillTint="33"/>
            <w:vAlign w:val="center"/>
          </w:tcPr>
          <w:p w14:paraId="0E4638A7" w14:textId="77777777" w:rsidR="0011634F" w:rsidRPr="0011634F" w:rsidRDefault="0011634F" w:rsidP="0011634F">
            <w:pPr>
              <w:widowControl w:val="0"/>
              <w:autoSpaceDE w:val="0"/>
              <w:autoSpaceDN w:val="0"/>
              <w:spacing w:after="0" w:line="202" w:lineRule="exact"/>
              <w:ind w:right="74"/>
              <w:jc w:val="right"/>
              <w:rPr>
                <w:rFonts w:eastAsia="Times New Roman" w:cs="Arial"/>
                <w:sz w:val="20"/>
                <w:szCs w:val="20"/>
              </w:rPr>
            </w:pPr>
            <w:r w:rsidRPr="0011634F">
              <w:rPr>
                <w:rFonts w:eastAsia="Times New Roman" w:cs="Arial"/>
                <w:sz w:val="20"/>
                <w:szCs w:val="20"/>
              </w:rPr>
              <w:t>UNIT PRICE</w:t>
            </w:r>
          </w:p>
        </w:tc>
        <w:tc>
          <w:tcPr>
            <w:tcW w:w="1284" w:type="dxa"/>
            <w:tcBorders>
              <w:left w:val="single" w:sz="8" w:space="0" w:color="000000"/>
              <w:bottom w:val="single" w:sz="12" w:space="0" w:color="000000"/>
              <w:right w:val="nil"/>
            </w:tcBorders>
            <w:shd w:val="clear" w:color="auto" w:fill="D9E2F3" w:themeFill="accent1" w:themeFillTint="33"/>
            <w:vAlign w:val="center"/>
          </w:tcPr>
          <w:p w14:paraId="36F8222E" w14:textId="1024836F" w:rsidR="0011634F" w:rsidRPr="0011634F" w:rsidRDefault="00EC5DDC" w:rsidP="00327F7B">
            <w:pPr>
              <w:widowControl w:val="0"/>
              <w:autoSpaceDE w:val="0"/>
              <w:autoSpaceDN w:val="0"/>
              <w:spacing w:after="0" w:line="202" w:lineRule="exact"/>
              <w:ind w:left="14"/>
              <w:jc w:val="center"/>
              <w:rPr>
                <w:rFonts w:eastAsia="Times New Roman" w:cs="Arial"/>
                <w:sz w:val="20"/>
                <w:szCs w:val="20"/>
              </w:rPr>
            </w:pPr>
            <w:r>
              <w:rPr>
                <w:rFonts w:eastAsia="Times New Roman" w:cs="Arial"/>
                <w:sz w:val="20"/>
                <w:szCs w:val="20"/>
              </w:rPr>
              <w:t>TOTAL</w:t>
            </w:r>
          </w:p>
        </w:tc>
      </w:tr>
      <w:tr w:rsidR="0011634F" w:rsidRPr="0011634F" w14:paraId="76E27E6D" w14:textId="77777777" w:rsidTr="00327F7B">
        <w:trPr>
          <w:trHeight w:hRule="exact" w:val="332"/>
          <w:jc w:val="center"/>
        </w:trPr>
        <w:tc>
          <w:tcPr>
            <w:tcW w:w="720" w:type="dxa"/>
            <w:tcBorders>
              <w:top w:val="single" w:sz="12" w:space="0" w:color="000000"/>
              <w:left w:val="nil"/>
              <w:bottom w:val="single" w:sz="8" w:space="0" w:color="000000"/>
              <w:right w:val="single" w:sz="8" w:space="0" w:color="000000"/>
            </w:tcBorders>
          </w:tcPr>
          <w:p w14:paraId="1577A188" w14:textId="6E0557EF" w:rsidR="0011634F" w:rsidRPr="0011634F" w:rsidRDefault="00327F7B" w:rsidP="0011634F">
            <w:pPr>
              <w:widowControl w:val="0"/>
              <w:autoSpaceDE w:val="0"/>
              <w:autoSpaceDN w:val="0"/>
              <w:spacing w:before="60" w:after="0" w:line="240" w:lineRule="auto"/>
              <w:ind w:right="47"/>
              <w:jc w:val="center"/>
              <w:rPr>
                <w:rFonts w:eastAsia="Times New Roman" w:cs="Arial"/>
                <w:sz w:val="20"/>
                <w:szCs w:val="20"/>
              </w:rPr>
            </w:pPr>
            <w:r>
              <w:rPr>
                <w:rFonts w:eastAsia="Times New Roman" w:cs="Arial"/>
                <w:sz w:val="20"/>
                <w:szCs w:val="20"/>
              </w:rPr>
              <w:t>1</w:t>
            </w:r>
          </w:p>
        </w:tc>
        <w:tc>
          <w:tcPr>
            <w:tcW w:w="4566" w:type="dxa"/>
            <w:tcBorders>
              <w:top w:val="single" w:sz="12" w:space="0" w:color="000000"/>
              <w:left w:val="single" w:sz="8" w:space="0" w:color="000000"/>
              <w:bottom w:val="single" w:sz="8" w:space="0" w:color="000000"/>
              <w:right w:val="single" w:sz="8" w:space="0" w:color="000000"/>
            </w:tcBorders>
          </w:tcPr>
          <w:p w14:paraId="297C89B7" w14:textId="77777777" w:rsidR="0011634F" w:rsidRPr="0011634F" w:rsidRDefault="0011634F" w:rsidP="0011634F">
            <w:pPr>
              <w:widowControl w:val="0"/>
              <w:autoSpaceDE w:val="0"/>
              <w:autoSpaceDN w:val="0"/>
              <w:spacing w:before="60" w:after="0" w:line="240" w:lineRule="auto"/>
              <w:ind w:left="54"/>
              <w:rPr>
                <w:rFonts w:eastAsia="Times New Roman" w:cs="Arial"/>
                <w:sz w:val="20"/>
                <w:szCs w:val="20"/>
              </w:rPr>
            </w:pPr>
            <w:r w:rsidRPr="0011634F">
              <w:rPr>
                <w:rFonts w:eastAsia="Times New Roman" w:cs="Arial"/>
                <w:sz w:val="20"/>
                <w:szCs w:val="20"/>
              </w:rPr>
              <w:t>Mobilization</w:t>
            </w:r>
          </w:p>
        </w:tc>
        <w:tc>
          <w:tcPr>
            <w:tcW w:w="1260" w:type="dxa"/>
            <w:tcBorders>
              <w:top w:val="single" w:sz="12" w:space="0" w:color="000000"/>
              <w:left w:val="single" w:sz="8" w:space="0" w:color="000000"/>
              <w:bottom w:val="single" w:sz="8" w:space="0" w:color="000000"/>
              <w:right w:val="single" w:sz="8" w:space="0" w:color="000000"/>
            </w:tcBorders>
          </w:tcPr>
          <w:p w14:paraId="29BC0ADF" w14:textId="257431EB" w:rsidR="0011634F" w:rsidRPr="0011634F" w:rsidRDefault="00327F7B" w:rsidP="0011634F">
            <w:pPr>
              <w:widowControl w:val="0"/>
              <w:autoSpaceDE w:val="0"/>
              <w:autoSpaceDN w:val="0"/>
              <w:spacing w:before="60" w:after="0" w:line="240" w:lineRule="auto"/>
              <w:ind w:right="20"/>
              <w:jc w:val="center"/>
              <w:rPr>
                <w:rFonts w:eastAsia="Times New Roman" w:cs="Arial"/>
                <w:sz w:val="20"/>
                <w:szCs w:val="20"/>
              </w:rPr>
            </w:pPr>
            <w:r>
              <w:rPr>
                <w:rFonts w:eastAsia="Times New Roman" w:cs="Arial"/>
                <w:sz w:val="20"/>
                <w:szCs w:val="20"/>
              </w:rPr>
              <w:t>1</w:t>
            </w:r>
          </w:p>
        </w:tc>
        <w:tc>
          <w:tcPr>
            <w:tcW w:w="1080" w:type="dxa"/>
            <w:tcBorders>
              <w:top w:val="single" w:sz="12" w:space="0" w:color="000000"/>
              <w:left w:val="single" w:sz="8" w:space="0" w:color="000000"/>
              <w:bottom w:val="single" w:sz="8" w:space="0" w:color="000000"/>
              <w:right w:val="single" w:sz="8" w:space="0" w:color="000000"/>
            </w:tcBorders>
          </w:tcPr>
          <w:p w14:paraId="2DF9DB3D" w14:textId="24A9D3B8" w:rsidR="0011634F" w:rsidRPr="0011634F" w:rsidRDefault="0011634F" w:rsidP="0011634F">
            <w:pPr>
              <w:widowControl w:val="0"/>
              <w:autoSpaceDE w:val="0"/>
              <w:autoSpaceDN w:val="0"/>
              <w:spacing w:before="60" w:after="0" w:line="240" w:lineRule="auto"/>
              <w:ind w:left="18"/>
              <w:jc w:val="center"/>
              <w:rPr>
                <w:rFonts w:eastAsia="Times New Roman" w:cs="Arial"/>
                <w:sz w:val="20"/>
                <w:szCs w:val="20"/>
              </w:rPr>
            </w:pPr>
            <w:r w:rsidRPr="0011634F">
              <w:rPr>
                <w:rFonts w:eastAsia="Times New Roman" w:cs="Arial"/>
                <w:sz w:val="20"/>
                <w:szCs w:val="20"/>
              </w:rPr>
              <w:t>L</w:t>
            </w:r>
            <w:r w:rsidR="008F0E0D">
              <w:rPr>
                <w:rFonts w:eastAsia="Times New Roman" w:cs="Arial"/>
                <w:sz w:val="20"/>
                <w:szCs w:val="20"/>
              </w:rPr>
              <w:t>OT</w:t>
            </w:r>
          </w:p>
        </w:tc>
        <w:tc>
          <w:tcPr>
            <w:tcW w:w="1260" w:type="dxa"/>
            <w:tcBorders>
              <w:top w:val="single" w:sz="12" w:space="0" w:color="000000"/>
              <w:left w:val="single" w:sz="8" w:space="0" w:color="000000"/>
              <w:bottom w:val="single" w:sz="8" w:space="0" w:color="000000"/>
              <w:right w:val="single" w:sz="8" w:space="0" w:color="000000"/>
            </w:tcBorders>
          </w:tcPr>
          <w:p w14:paraId="655C7EE9" w14:textId="5A74858B" w:rsidR="0011634F" w:rsidRPr="0011634F" w:rsidRDefault="0011634F" w:rsidP="0011634F">
            <w:pPr>
              <w:widowControl w:val="0"/>
              <w:autoSpaceDE w:val="0"/>
              <w:autoSpaceDN w:val="0"/>
              <w:spacing w:before="64" w:after="0" w:line="240" w:lineRule="auto"/>
              <w:ind w:right="21"/>
              <w:rPr>
                <w:rFonts w:eastAsia="Times New Roman" w:cs="Arial"/>
                <w:sz w:val="20"/>
                <w:szCs w:val="20"/>
              </w:rPr>
            </w:pPr>
            <w:r>
              <w:rPr>
                <w:rFonts w:eastAsia="Times New Roman" w:cs="Arial"/>
                <w:sz w:val="20"/>
                <w:szCs w:val="20"/>
              </w:rPr>
              <w:t>$</w:t>
            </w:r>
          </w:p>
        </w:tc>
        <w:tc>
          <w:tcPr>
            <w:tcW w:w="1284" w:type="dxa"/>
            <w:tcBorders>
              <w:top w:val="single" w:sz="12" w:space="0" w:color="000000"/>
              <w:left w:val="single" w:sz="8" w:space="0" w:color="000000"/>
              <w:bottom w:val="single" w:sz="8" w:space="0" w:color="000000"/>
              <w:right w:val="nil"/>
            </w:tcBorders>
          </w:tcPr>
          <w:p w14:paraId="287DA2FD" w14:textId="43341789" w:rsidR="0011634F" w:rsidRPr="0011634F" w:rsidRDefault="0011634F" w:rsidP="0011634F">
            <w:pPr>
              <w:widowControl w:val="0"/>
              <w:autoSpaceDE w:val="0"/>
              <w:autoSpaceDN w:val="0"/>
              <w:spacing w:before="64" w:after="0" w:line="240" w:lineRule="auto"/>
              <w:ind w:right="78"/>
              <w:rPr>
                <w:rFonts w:eastAsia="Times New Roman" w:cs="Arial"/>
                <w:sz w:val="20"/>
                <w:szCs w:val="20"/>
              </w:rPr>
            </w:pPr>
            <w:r>
              <w:rPr>
                <w:rFonts w:eastAsia="Times New Roman" w:cs="Arial"/>
                <w:sz w:val="20"/>
                <w:szCs w:val="20"/>
              </w:rPr>
              <w:t>$</w:t>
            </w:r>
          </w:p>
        </w:tc>
      </w:tr>
      <w:tr w:rsidR="004E2BE0" w:rsidRPr="0011634F" w14:paraId="199D044D"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6A19167A" w14:textId="5E0B6788"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2</w:t>
            </w:r>
          </w:p>
        </w:tc>
        <w:tc>
          <w:tcPr>
            <w:tcW w:w="4566" w:type="dxa"/>
            <w:tcBorders>
              <w:top w:val="single" w:sz="8" w:space="0" w:color="000000"/>
              <w:left w:val="single" w:sz="8" w:space="0" w:color="000000"/>
              <w:bottom w:val="single" w:sz="8" w:space="0" w:color="000000"/>
              <w:right w:val="single" w:sz="8" w:space="0" w:color="000000"/>
            </w:tcBorders>
          </w:tcPr>
          <w:p w14:paraId="5F804253" w14:textId="3E816267" w:rsidR="004E2BE0" w:rsidRPr="0011634F" w:rsidRDefault="00B9164F" w:rsidP="004E2BE0">
            <w:pPr>
              <w:widowControl w:val="0"/>
              <w:autoSpaceDE w:val="0"/>
              <w:autoSpaceDN w:val="0"/>
              <w:spacing w:before="21" w:after="0" w:line="240" w:lineRule="auto"/>
              <w:ind w:left="54"/>
              <w:rPr>
                <w:rFonts w:eastAsia="Times New Roman" w:cs="Arial"/>
                <w:sz w:val="20"/>
                <w:szCs w:val="20"/>
              </w:rPr>
            </w:pPr>
            <w:r>
              <w:rPr>
                <w:rFonts w:eastAsia="Times New Roman" w:cs="Arial"/>
                <w:sz w:val="20"/>
                <w:szCs w:val="20"/>
              </w:rPr>
              <w:t>Install</w:t>
            </w:r>
            <w:r w:rsidR="004E2BE0">
              <w:rPr>
                <w:rFonts w:eastAsia="Times New Roman" w:cs="Arial"/>
                <w:sz w:val="20"/>
                <w:szCs w:val="20"/>
              </w:rPr>
              <w:t xml:space="preserve"> 8” sewer line</w:t>
            </w:r>
            <w:r>
              <w:rPr>
                <w:rFonts w:eastAsia="Times New Roman" w:cs="Arial"/>
                <w:sz w:val="20"/>
                <w:szCs w:val="20"/>
              </w:rPr>
              <w:t xml:space="preserve"> (owner supplied pipe)</w:t>
            </w:r>
          </w:p>
        </w:tc>
        <w:tc>
          <w:tcPr>
            <w:tcW w:w="1260" w:type="dxa"/>
            <w:tcBorders>
              <w:top w:val="single" w:sz="8" w:space="0" w:color="000000"/>
              <w:left w:val="single" w:sz="8" w:space="0" w:color="000000"/>
              <w:bottom w:val="single" w:sz="8" w:space="0" w:color="000000"/>
              <w:right w:val="single" w:sz="8" w:space="0" w:color="000000"/>
            </w:tcBorders>
          </w:tcPr>
          <w:p w14:paraId="567D5B98" w14:textId="13E283E5" w:rsidR="004E2BE0" w:rsidRPr="0011634F" w:rsidRDefault="004E2BE0" w:rsidP="004E2BE0">
            <w:pPr>
              <w:widowControl w:val="0"/>
              <w:autoSpaceDE w:val="0"/>
              <w:autoSpaceDN w:val="0"/>
              <w:spacing w:before="21" w:after="0" w:line="240" w:lineRule="auto"/>
              <w:ind w:right="22"/>
              <w:jc w:val="center"/>
              <w:rPr>
                <w:rFonts w:eastAsia="Times New Roman" w:cs="Arial"/>
                <w:sz w:val="20"/>
                <w:szCs w:val="20"/>
              </w:rPr>
            </w:pPr>
            <w:r>
              <w:rPr>
                <w:rFonts w:eastAsia="Times New Roman" w:cs="Arial"/>
                <w:sz w:val="20"/>
                <w:szCs w:val="20"/>
              </w:rPr>
              <w:t>300</w:t>
            </w:r>
          </w:p>
        </w:tc>
        <w:tc>
          <w:tcPr>
            <w:tcW w:w="1080" w:type="dxa"/>
            <w:tcBorders>
              <w:top w:val="single" w:sz="8" w:space="0" w:color="000000"/>
              <w:left w:val="single" w:sz="8" w:space="0" w:color="000000"/>
              <w:bottom w:val="single" w:sz="8" w:space="0" w:color="000000"/>
              <w:right w:val="single" w:sz="8" w:space="0" w:color="000000"/>
            </w:tcBorders>
          </w:tcPr>
          <w:p w14:paraId="222FB036" w14:textId="73EA9645" w:rsidR="004E2BE0" w:rsidRPr="0011634F" w:rsidRDefault="004E2BE0" w:rsidP="004E2BE0">
            <w:pPr>
              <w:widowControl w:val="0"/>
              <w:autoSpaceDE w:val="0"/>
              <w:autoSpaceDN w:val="0"/>
              <w:spacing w:before="21" w:after="0" w:line="240" w:lineRule="auto"/>
              <w:ind w:left="18"/>
              <w:jc w:val="center"/>
              <w:rPr>
                <w:rFonts w:eastAsia="Times New Roman" w:cs="Arial"/>
                <w:sz w:val="20"/>
                <w:szCs w:val="20"/>
              </w:rPr>
            </w:pPr>
            <w:r>
              <w:rPr>
                <w:rFonts w:eastAsia="Times New Roman" w:cs="Arial"/>
                <w:sz w:val="20"/>
                <w:szCs w:val="20"/>
              </w:rPr>
              <w:t>FT</w:t>
            </w:r>
          </w:p>
        </w:tc>
        <w:tc>
          <w:tcPr>
            <w:tcW w:w="1260" w:type="dxa"/>
            <w:tcBorders>
              <w:top w:val="single" w:sz="8" w:space="0" w:color="000000"/>
              <w:left w:val="single" w:sz="8" w:space="0" w:color="000000"/>
              <w:bottom w:val="single" w:sz="8" w:space="0" w:color="000000"/>
              <w:right w:val="single" w:sz="8" w:space="0" w:color="000000"/>
            </w:tcBorders>
          </w:tcPr>
          <w:p w14:paraId="1A87C0DD" w14:textId="0C6C40B1" w:rsidR="004E2BE0" w:rsidRPr="0011634F" w:rsidRDefault="004E2BE0" w:rsidP="004E2BE0">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64FEAF6E" w14:textId="2FFA71B0" w:rsidR="004E2BE0" w:rsidRPr="0011634F" w:rsidRDefault="004E2BE0" w:rsidP="004E2BE0">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4E2BE0" w:rsidRPr="0011634F" w14:paraId="369F7001"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37BAC2AF" w14:textId="768FA20C"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3</w:t>
            </w:r>
          </w:p>
        </w:tc>
        <w:tc>
          <w:tcPr>
            <w:tcW w:w="4566" w:type="dxa"/>
            <w:tcBorders>
              <w:top w:val="single" w:sz="8" w:space="0" w:color="000000"/>
              <w:left w:val="single" w:sz="8" w:space="0" w:color="000000"/>
              <w:bottom w:val="single" w:sz="8" w:space="0" w:color="000000"/>
              <w:right w:val="single" w:sz="8" w:space="0" w:color="000000"/>
            </w:tcBorders>
          </w:tcPr>
          <w:p w14:paraId="12CB7CB5" w14:textId="0993CA1C" w:rsidR="004E2BE0" w:rsidRPr="0011634F" w:rsidRDefault="004E2BE0" w:rsidP="004E2BE0">
            <w:pPr>
              <w:widowControl w:val="0"/>
              <w:autoSpaceDE w:val="0"/>
              <w:autoSpaceDN w:val="0"/>
              <w:spacing w:before="21" w:after="0" w:line="240" w:lineRule="auto"/>
              <w:ind w:left="53"/>
              <w:rPr>
                <w:rFonts w:eastAsia="Times New Roman" w:cs="Arial"/>
                <w:sz w:val="20"/>
                <w:szCs w:val="20"/>
              </w:rPr>
            </w:pPr>
            <w:r>
              <w:rPr>
                <w:rFonts w:eastAsia="Times New Roman" w:cs="Arial"/>
                <w:sz w:val="20"/>
                <w:szCs w:val="20"/>
              </w:rPr>
              <w:t>Purchase and set manholes</w:t>
            </w:r>
          </w:p>
        </w:tc>
        <w:tc>
          <w:tcPr>
            <w:tcW w:w="1260" w:type="dxa"/>
            <w:tcBorders>
              <w:top w:val="single" w:sz="8" w:space="0" w:color="000000"/>
              <w:left w:val="single" w:sz="8" w:space="0" w:color="000000"/>
              <w:bottom w:val="single" w:sz="8" w:space="0" w:color="000000"/>
              <w:right w:val="single" w:sz="8" w:space="0" w:color="000000"/>
            </w:tcBorders>
          </w:tcPr>
          <w:p w14:paraId="237BEA05" w14:textId="05BD3D29" w:rsidR="004E2BE0" w:rsidRPr="0011634F" w:rsidRDefault="004E2BE0" w:rsidP="004E2BE0">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4</w:t>
            </w:r>
          </w:p>
        </w:tc>
        <w:tc>
          <w:tcPr>
            <w:tcW w:w="1080" w:type="dxa"/>
            <w:tcBorders>
              <w:top w:val="single" w:sz="8" w:space="0" w:color="000000"/>
              <w:left w:val="single" w:sz="8" w:space="0" w:color="000000"/>
              <w:bottom w:val="single" w:sz="8" w:space="0" w:color="000000"/>
              <w:right w:val="single" w:sz="8" w:space="0" w:color="000000"/>
            </w:tcBorders>
          </w:tcPr>
          <w:p w14:paraId="63CD997B" w14:textId="47E00F15" w:rsidR="004E2BE0" w:rsidRPr="0011634F" w:rsidRDefault="004E2BE0" w:rsidP="004E2BE0">
            <w:pPr>
              <w:widowControl w:val="0"/>
              <w:autoSpaceDE w:val="0"/>
              <w:autoSpaceDN w:val="0"/>
              <w:spacing w:before="21" w:after="0" w:line="240" w:lineRule="auto"/>
              <w:ind w:left="18"/>
              <w:jc w:val="center"/>
              <w:rPr>
                <w:rFonts w:eastAsia="Times New Roman" w:cs="Arial"/>
                <w:sz w:val="20"/>
                <w:szCs w:val="20"/>
              </w:rPr>
            </w:pPr>
            <w:r>
              <w:rPr>
                <w:rFonts w:eastAsia="Times New Roman" w:cs="Arial"/>
                <w:sz w:val="20"/>
                <w:szCs w:val="20"/>
              </w:rPr>
              <w:t>EA</w:t>
            </w:r>
          </w:p>
        </w:tc>
        <w:tc>
          <w:tcPr>
            <w:tcW w:w="1260" w:type="dxa"/>
            <w:tcBorders>
              <w:top w:val="single" w:sz="8" w:space="0" w:color="000000"/>
              <w:left w:val="single" w:sz="8" w:space="0" w:color="000000"/>
              <w:bottom w:val="single" w:sz="8" w:space="0" w:color="000000"/>
              <w:right w:val="single" w:sz="8" w:space="0" w:color="000000"/>
            </w:tcBorders>
          </w:tcPr>
          <w:p w14:paraId="6185F174" w14:textId="35E826EF" w:rsidR="004E2BE0" w:rsidRPr="0011634F" w:rsidRDefault="004E2BE0" w:rsidP="004E2BE0">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6A8CCCF3" w14:textId="262A68EE" w:rsidR="004E2BE0" w:rsidRPr="0011634F" w:rsidRDefault="004E2BE0" w:rsidP="004E2BE0">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4E2BE0" w:rsidRPr="0011634F" w14:paraId="71BCCED5"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1D989528" w14:textId="7F4897CC"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4</w:t>
            </w:r>
          </w:p>
        </w:tc>
        <w:tc>
          <w:tcPr>
            <w:tcW w:w="4566" w:type="dxa"/>
            <w:tcBorders>
              <w:top w:val="single" w:sz="8" w:space="0" w:color="000000"/>
              <w:left w:val="single" w:sz="8" w:space="0" w:color="000000"/>
              <w:bottom w:val="single" w:sz="8" w:space="0" w:color="000000"/>
              <w:right w:val="single" w:sz="8" w:space="0" w:color="000000"/>
            </w:tcBorders>
          </w:tcPr>
          <w:p w14:paraId="019EDB41" w14:textId="79AF7384" w:rsidR="004E2BE0" w:rsidRPr="0011634F" w:rsidRDefault="004E2BE0" w:rsidP="004E2BE0">
            <w:pPr>
              <w:widowControl w:val="0"/>
              <w:autoSpaceDE w:val="0"/>
              <w:autoSpaceDN w:val="0"/>
              <w:spacing w:before="21" w:after="0" w:line="240" w:lineRule="auto"/>
              <w:ind w:left="54"/>
              <w:rPr>
                <w:rFonts w:eastAsia="Times New Roman" w:cs="Arial"/>
                <w:sz w:val="20"/>
                <w:szCs w:val="20"/>
              </w:rPr>
            </w:pPr>
            <w:r>
              <w:rPr>
                <w:rFonts w:eastAsia="Times New Roman" w:cs="Arial"/>
                <w:sz w:val="20"/>
                <w:szCs w:val="20"/>
              </w:rPr>
              <w:t>Remove existing gravity system</w:t>
            </w:r>
          </w:p>
        </w:tc>
        <w:tc>
          <w:tcPr>
            <w:tcW w:w="1260" w:type="dxa"/>
            <w:tcBorders>
              <w:top w:val="single" w:sz="8" w:space="0" w:color="000000"/>
              <w:left w:val="single" w:sz="8" w:space="0" w:color="000000"/>
              <w:bottom w:val="single" w:sz="8" w:space="0" w:color="000000"/>
              <w:right w:val="single" w:sz="8" w:space="0" w:color="000000"/>
            </w:tcBorders>
          </w:tcPr>
          <w:p w14:paraId="464DF72C" w14:textId="5AEF7574" w:rsidR="004E2BE0" w:rsidRPr="0011634F" w:rsidRDefault="004E2BE0" w:rsidP="004E2BE0">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150</w:t>
            </w:r>
          </w:p>
        </w:tc>
        <w:tc>
          <w:tcPr>
            <w:tcW w:w="1080" w:type="dxa"/>
            <w:tcBorders>
              <w:top w:val="single" w:sz="8" w:space="0" w:color="000000"/>
              <w:left w:val="single" w:sz="8" w:space="0" w:color="000000"/>
              <w:bottom w:val="single" w:sz="8" w:space="0" w:color="000000"/>
              <w:right w:val="single" w:sz="8" w:space="0" w:color="000000"/>
            </w:tcBorders>
          </w:tcPr>
          <w:p w14:paraId="3810336B" w14:textId="2F79CF90" w:rsidR="004E2BE0" w:rsidRPr="0011634F" w:rsidRDefault="004E2BE0" w:rsidP="004E2BE0">
            <w:pPr>
              <w:widowControl w:val="0"/>
              <w:autoSpaceDE w:val="0"/>
              <w:autoSpaceDN w:val="0"/>
              <w:spacing w:before="21" w:after="0" w:line="240" w:lineRule="auto"/>
              <w:jc w:val="center"/>
              <w:rPr>
                <w:rFonts w:eastAsia="Times New Roman" w:cs="Arial"/>
                <w:sz w:val="20"/>
                <w:szCs w:val="20"/>
              </w:rPr>
            </w:pPr>
            <w:r>
              <w:rPr>
                <w:rFonts w:eastAsia="Times New Roman" w:cs="Arial"/>
                <w:sz w:val="20"/>
                <w:szCs w:val="20"/>
              </w:rPr>
              <w:t>FT</w:t>
            </w:r>
          </w:p>
        </w:tc>
        <w:tc>
          <w:tcPr>
            <w:tcW w:w="1260" w:type="dxa"/>
            <w:tcBorders>
              <w:top w:val="single" w:sz="8" w:space="0" w:color="000000"/>
              <w:left w:val="single" w:sz="8" w:space="0" w:color="000000"/>
              <w:bottom w:val="single" w:sz="8" w:space="0" w:color="000000"/>
              <w:right w:val="single" w:sz="8" w:space="0" w:color="000000"/>
            </w:tcBorders>
          </w:tcPr>
          <w:p w14:paraId="60916C68" w14:textId="44083E97" w:rsidR="004E2BE0" w:rsidRPr="0011634F" w:rsidRDefault="004E2BE0" w:rsidP="004E2BE0">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45F8B822" w14:textId="0B55EF51" w:rsidR="004E2BE0" w:rsidRPr="0011634F" w:rsidRDefault="004E2BE0" w:rsidP="004E2BE0">
            <w:pPr>
              <w:widowControl w:val="0"/>
              <w:autoSpaceDE w:val="0"/>
              <w:autoSpaceDN w:val="0"/>
              <w:spacing w:before="24" w:after="0" w:line="240" w:lineRule="auto"/>
              <w:ind w:right="78"/>
              <w:rPr>
                <w:rFonts w:eastAsia="Times New Roman" w:cs="Arial"/>
                <w:sz w:val="20"/>
                <w:szCs w:val="20"/>
              </w:rPr>
            </w:pPr>
            <w:r>
              <w:rPr>
                <w:rFonts w:eastAsia="Times New Roman" w:cs="Arial"/>
                <w:sz w:val="20"/>
                <w:szCs w:val="20"/>
              </w:rPr>
              <w:t>$</w:t>
            </w:r>
          </w:p>
        </w:tc>
      </w:tr>
      <w:tr w:rsidR="004E2BE0" w:rsidRPr="0011634F" w14:paraId="16BEB208"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7357C374" w14:textId="1EF46D9D"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5</w:t>
            </w:r>
          </w:p>
        </w:tc>
        <w:tc>
          <w:tcPr>
            <w:tcW w:w="4566" w:type="dxa"/>
            <w:tcBorders>
              <w:top w:val="single" w:sz="8" w:space="0" w:color="000000"/>
              <w:left w:val="single" w:sz="8" w:space="0" w:color="000000"/>
              <w:bottom w:val="single" w:sz="8" w:space="0" w:color="000000"/>
              <w:right w:val="single" w:sz="8" w:space="0" w:color="000000"/>
            </w:tcBorders>
          </w:tcPr>
          <w:p w14:paraId="08F21F92" w14:textId="6F1C9AC8" w:rsidR="004E2BE0" w:rsidRPr="0011634F" w:rsidRDefault="004E2BE0" w:rsidP="004E2BE0">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Remov</w:t>
            </w:r>
            <w:r>
              <w:rPr>
                <w:rFonts w:eastAsia="Times New Roman" w:cs="Arial"/>
                <w:sz w:val="20"/>
                <w:szCs w:val="20"/>
              </w:rPr>
              <w:t>e existing manhole</w:t>
            </w:r>
          </w:p>
        </w:tc>
        <w:tc>
          <w:tcPr>
            <w:tcW w:w="1260" w:type="dxa"/>
            <w:tcBorders>
              <w:top w:val="single" w:sz="8" w:space="0" w:color="000000"/>
              <w:left w:val="single" w:sz="8" w:space="0" w:color="000000"/>
              <w:bottom w:val="single" w:sz="8" w:space="0" w:color="000000"/>
              <w:right w:val="single" w:sz="8" w:space="0" w:color="000000"/>
            </w:tcBorders>
          </w:tcPr>
          <w:p w14:paraId="4BB1E334" w14:textId="376AD1D5" w:rsidR="004E2BE0" w:rsidRPr="0011634F" w:rsidRDefault="004E2BE0" w:rsidP="004E2BE0">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1</w:t>
            </w:r>
          </w:p>
        </w:tc>
        <w:tc>
          <w:tcPr>
            <w:tcW w:w="1080" w:type="dxa"/>
            <w:tcBorders>
              <w:top w:val="single" w:sz="8" w:space="0" w:color="000000"/>
              <w:left w:val="single" w:sz="8" w:space="0" w:color="000000"/>
              <w:bottom w:val="single" w:sz="8" w:space="0" w:color="000000"/>
              <w:right w:val="single" w:sz="8" w:space="0" w:color="000000"/>
            </w:tcBorders>
          </w:tcPr>
          <w:p w14:paraId="02662074" w14:textId="1800B6DE" w:rsidR="004E2BE0" w:rsidRPr="0011634F" w:rsidRDefault="004E2BE0" w:rsidP="004E2BE0">
            <w:pPr>
              <w:widowControl w:val="0"/>
              <w:autoSpaceDE w:val="0"/>
              <w:autoSpaceDN w:val="0"/>
              <w:spacing w:before="21" w:after="0" w:line="240" w:lineRule="auto"/>
              <w:jc w:val="center"/>
              <w:rPr>
                <w:rFonts w:eastAsia="Times New Roman" w:cs="Arial"/>
                <w:sz w:val="20"/>
                <w:szCs w:val="20"/>
              </w:rPr>
            </w:pPr>
            <w:r>
              <w:rPr>
                <w:rFonts w:eastAsia="Times New Roman" w:cs="Arial"/>
                <w:sz w:val="20"/>
                <w:szCs w:val="20"/>
              </w:rPr>
              <w:t>EA</w:t>
            </w:r>
          </w:p>
        </w:tc>
        <w:tc>
          <w:tcPr>
            <w:tcW w:w="1260" w:type="dxa"/>
            <w:tcBorders>
              <w:top w:val="single" w:sz="8" w:space="0" w:color="000000"/>
              <w:left w:val="single" w:sz="8" w:space="0" w:color="000000"/>
              <w:bottom w:val="single" w:sz="8" w:space="0" w:color="000000"/>
              <w:right w:val="single" w:sz="8" w:space="0" w:color="000000"/>
            </w:tcBorders>
          </w:tcPr>
          <w:p w14:paraId="22F7BE76" w14:textId="7ACA9C56" w:rsidR="004E2BE0" w:rsidRPr="0011634F" w:rsidRDefault="004E2BE0" w:rsidP="004E2BE0">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155270D1" w14:textId="49DC8BFF" w:rsidR="004E2BE0" w:rsidRPr="0011634F" w:rsidRDefault="004E2BE0" w:rsidP="004E2BE0">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4E2BE0" w:rsidRPr="0011634F" w14:paraId="159AC285"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2CC0A7E9" w14:textId="221DE74B"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6</w:t>
            </w:r>
          </w:p>
        </w:tc>
        <w:tc>
          <w:tcPr>
            <w:tcW w:w="4566" w:type="dxa"/>
            <w:tcBorders>
              <w:top w:val="single" w:sz="8" w:space="0" w:color="000000"/>
              <w:left w:val="single" w:sz="8" w:space="0" w:color="000000"/>
              <w:bottom w:val="single" w:sz="8" w:space="0" w:color="000000"/>
              <w:right w:val="single" w:sz="8" w:space="0" w:color="000000"/>
            </w:tcBorders>
          </w:tcPr>
          <w:p w14:paraId="75F668AA" w14:textId="6E7417FF" w:rsidR="004E2BE0" w:rsidRPr="0011634F" w:rsidRDefault="004E2BE0" w:rsidP="004E2BE0">
            <w:pPr>
              <w:widowControl w:val="0"/>
              <w:autoSpaceDE w:val="0"/>
              <w:autoSpaceDN w:val="0"/>
              <w:spacing w:before="21" w:after="0" w:line="240" w:lineRule="auto"/>
              <w:ind w:left="53"/>
              <w:rPr>
                <w:rFonts w:eastAsia="Times New Roman" w:cs="Arial"/>
                <w:sz w:val="20"/>
                <w:szCs w:val="20"/>
              </w:rPr>
            </w:pPr>
            <w:r>
              <w:rPr>
                <w:rFonts w:eastAsia="Times New Roman" w:cs="Arial"/>
                <w:sz w:val="20"/>
                <w:szCs w:val="20"/>
              </w:rPr>
              <w:t xml:space="preserve">Erosion control (seeding/mulching/sodding) </w:t>
            </w:r>
          </w:p>
        </w:tc>
        <w:tc>
          <w:tcPr>
            <w:tcW w:w="1260" w:type="dxa"/>
            <w:tcBorders>
              <w:top w:val="single" w:sz="8" w:space="0" w:color="000000"/>
              <w:left w:val="single" w:sz="8" w:space="0" w:color="000000"/>
              <w:bottom w:val="single" w:sz="8" w:space="0" w:color="000000"/>
              <w:right w:val="single" w:sz="8" w:space="0" w:color="000000"/>
            </w:tcBorders>
          </w:tcPr>
          <w:p w14:paraId="091A257E" w14:textId="76C97810" w:rsidR="004E2BE0" w:rsidRPr="0011634F" w:rsidRDefault="004E2BE0" w:rsidP="004E2BE0">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1/2</w:t>
            </w:r>
          </w:p>
        </w:tc>
        <w:tc>
          <w:tcPr>
            <w:tcW w:w="1080" w:type="dxa"/>
            <w:tcBorders>
              <w:top w:val="single" w:sz="8" w:space="0" w:color="000000"/>
              <w:left w:val="single" w:sz="8" w:space="0" w:color="000000"/>
              <w:bottom w:val="single" w:sz="8" w:space="0" w:color="000000"/>
              <w:right w:val="single" w:sz="8" w:space="0" w:color="000000"/>
            </w:tcBorders>
          </w:tcPr>
          <w:p w14:paraId="4B1CFD42" w14:textId="2A0FE358" w:rsidR="004E2BE0" w:rsidRPr="0011634F" w:rsidRDefault="004E2BE0" w:rsidP="004E2BE0">
            <w:pPr>
              <w:widowControl w:val="0"/>
              <w:autoSpaceDE w:val="0"/>
              <w:autoSpaceDN w:val="0"/>
              <w:spacing w:before="21" w:after="0" w:line="240" w:lineRule="auto"/>
              <w:ind w:left="18"/>
              <w:jc w:val="center"/>
              <w:rPr>
                <w:rFonts w:eastAsia="Times New Roman" w:cs="Arial"/>
                <w:sz w:val="20"/>
                <w:szCs w:val="20"/>
              </w:rPr>
            </w:pPr>
            <w:r>
              <w:rPr>
                <w:rFonts w:eastAsia="Times New Roman" w:cs="Arial"/>
                <w:sz w:val="20"/>
                <w:szCs w:val="20"/>
              </w:rPr>
              <w:t>Acre</w:t>
            </w:r>
          </w:p>
        </w:tc>
        <w:tc>
          <w:tcPr>
            <w:tcW w:w="1260" w:type="dxa"/>
            <w:tcBorders>
              <w:top w:val="single" w:sz="8" w:space="0" w:color="000000"/>
              <w:left w:val="single" w:sz="8" w:space="0" w:color="000000"/>
              <w:bottom w:val="single" w:sz="8" w:space="0" w:color="000000"/>
              <w:right w:val="single" w:sz="8" w:space="0" w:color="000000"/>
            </w:tcBorders>
          </w:tcPr>
          <w:p w14:paraId="322CA671" w14:textId="2CF3A01C" w:rsidR="004E2BE0" w:rsidRPr="0011634F" w:rsidRDefault="004E2BE0" w:rsidP="004E2BE0">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75FA123E" w14:textId="19523049" w:rsidR="004E2BE0" w:rsidRPr="0011634F" w:rsidRDefault="004E2BE0" w:rsidP="004E2BE0">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4E2BE0" w:rsidRPr="0011634F" w14:paraId="5BA99116"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6D2534AA" w14:textId="703EF81E"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7</w:t>
            </w:r>
          </w:p>
        </w:tc>
        <w:tc>
          <w:tcPr>
            <w:tcW w:w="4566" w:type="dxa"/>
            <w:tcBorders>
              <w:top w:val="single" w:sz="8" w:space="0" w:color="000000"/>
              <w:left w:val="single" w:sz="8" w:space="0" w:color="000000"/>
              <w:bottom w:val="single" w:sz="8" w:space="0" w:color="000000"/>
              <w:right w:val="single" w:sz="8" w:space="0" w:color="000000"/>
            </w:tcBorders>
          </w:tcPr>
          <w:p w14:paraId="4762617B" w14:textId="3E915F3E" w:rsidR="004E2BE0" w:rsidRPr="0011634F" w:rsidRDefault="004E2BE0" w:rsidP="004E2BE0">
            <w:pPr>
              <w:widowControl w:val="0"/>
              <w:autoSpaceDE w:val="0"/>
              <w:autoSpaceDN w:val="0"/>
              <w:spacing w:before="21" w:after="0" w:line="240" w:lineRule="auto"/>
              <w:ind w:left="53"/>
              <w:rPr>
                <w:rFonts w:eastAsia="Times New Roman" w:cs="Arial"/>
                <w:sz w:val="20"/>
                <w:szCs w:val="20"/>
              </w:rPr>
            </w:pPr>
            <w:r>
              <w:rPr>
                <w:rFonts w:eastAsia="Times New Roman" w:cs="Arial"/>
                <w:sz w:val="20"/>
                <w:szCs w:val="20"/>
              </w:rPr>
              <w:t>Concrete</w:t>
            </w:r>
          </w:p>
        </w:tc>
        <w:tc>
          <w:tcPr>
            <w:tcW w:w="1260" w:type="dxa"/>
            <w:tcBorders>
              <w:top w:val="single" w:sz="8" w:space="0" w:color="000000"/>
              <w:left w:val="single" w:sz="8" w:space="0" w:color="000000"/>
              <w:bottom w:val="single" w:sz="8" w:space="0" w:color="000000"/>
              <w:right w:val="single" w:sz="8" w:space="0" w:color="000000"/>
            </w:tcBorders>
          </w:tcPr>
          <w:p w14:paraId="2442921D" w14:textId="69FF90CF" w:rsidR="004E2BE0" w:rsidRPr="0011634F" w:rsidRDefault="004E2BE0" w:rsidP="004E2BE0">
            <w:pPr>
              <w:widowControl w:val="0"/>
              <w:autoSpaceDE w:val="0"/>
              <w:autoSpaceDN w:val="0"/>
              <w:spacing w:before="21" w:after="0" w:line="240" w:lineRule="auto"/>
              <w:ind w:right="22"/>
              <w:jc w:val="center"/>
              <w:rPr>
                <w:rFonts w:eastAsia="Times New Roman" w:cs="Arial"/>
                <w:sz w:val="20"/>
                <w:szCs w:val="20"/>
              </w:rPr>
            </w:pPr>
            <w:r>
              <w:rPr>
                <w:rFonts w:eastAsia="Times New Roman" w:cs="Arial"/>
                <w:sz w:val="20"/>
                <w:szCs w:val="20"/>
              </w:rPr>
              <w:t>10</w:t>
            </w:r>
          </w:p>
        </w:tc>
        <w:tc>
          <w:tcPr>
            <w:tcW w:w="1080" w:type="dxa"/>
            <w:tcBorders>
              <w:top w:val="single" w:sz="8" w:space="0" w:color="000000"/>
              <w:left w:val="single" w:sz="8" w:space="0" w:color="000000"/>
              <w:bottom w:val="single" w:sz="8" w:space="0" w:color="000000"/>
              <w:right w:val="single" w:sz="8" w:space="0" w:color="000000"/>
            </w:tcBorders>
          </w:tcPr>
          <w:p w14:paraId="28EC21A0" w14:textId="0C633363" w:rsidR="004E2BE0" w:rsidRPr="0011634F" w:rsidRDefault="004E2BE0" w:rsidP="004E2BE0">
            <w:pPr>
              <w:widowControl w:val="0"/>
              <w:autoSpaceDE w:val="0"/>
              <w:autoSpaceDN w:val="0"/>
              <w:spacing w:before="21" w:after="0" w:line="240" w:lineRule="auto"/>
              <w:ind w:left="18"/>
              <w:jc w:val="center"/>
              <w:rPr>
                <w:rFonts w:eastAsia="Times New Roman" w:cs="Arial"/>
                <w:sz w:val="20"/>
                <w:szCs w:val="20"/>
              </w:rPr>
            </w:pPr>
            <w:r>
              <w:rPr>
                <w:rFonts w:eastAsia="Times New Roman" w:cs="Arial"/>
                <w:sz w:val="20"/>
                <w:szCs w:val="20"/>
              </w:rPr>
              <w:t>YD</w:t>
            </w:r>
          </w:p>
        </w:tc>
        <w:tc>
          <w:tcPr>
            <w:tcW w:w="1260" w:type="dxa"/>
            <w:tcBorders>
              <w:top w:val="single" w:sz="8" w:space="0" w:color="000000"/>
              <w:left w:val="single" w:sz="8" w:space="0" w:color="000000"/>
              <w:bottom w:val="single" w:sz="8" w:space="0" w:color="000000"/>
              <w:right w:val="single" w:sz="8" w:space="0" w:color="000000"/>
            </w:tcBorders>
          </w:tcPr>
          <w:p w14:paraId="05D2CEB8" w14:textId="01131965" w:rsidR="004E2BE0" w:rsidRPr="0011634F" w:rsidRDefault="004E2BE0" w:rsidP="004E2BE0">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03512949" w14:textId="54C1E5FF" w:rsidR="004E2BE0" w:rsidRPr="0011634F" w:rsidRDefault="004E2BE0" w:rsidP="004E2BE0">
            <w:pPr>
              <w:widowControl w:val="0"/>
              <w:autoSpaceDE w:val="0"/>
              <w:autoSpaceDN w:val="0"/>
              <w:spacing w:before="24" w:after="0" w:line="240" w:lineRule="auto"/>
              <w:ind w:right="78"/>
              <w:rPr>
                <w:rFonts w:eastAsia="Times New Roman" w:cs="Arial"/>
                <w:sz w:val="20"/>
                <w:szCs w:val="20"/>
              </w:rPr>
            </w:pPr>
            <w:r>
              <w:rPr>
                <w:rFonts w:eastAsia="Times New Roman" w:cs="Arial"/>
                <w:sz w:val="20"/>
                <w:szCs w:val="20"/>
              </w:rPr>
              <w:t>$</w:t>
            </w:r>
          </w:p>
        </w:tc>
      </w:tr>
      <w:tr w:rsidR="004E2BE0" w:rsidRPr="0011634F" w14:paraId="03DE4B4D"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132FE259" w14:textId="3AC188DD"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8</w:t>
            </w:r>
          </w:p>
        </w:tc>
        <w:tc>
          <w:tcPr>
            <w:tcW w:w="4566" w:type="dxa"/>
            <w:tcBorders>
              <w:top w:val="single" w:sz="8" w:space="0" w:color="000000"/>
              <w:left w:val="single" w:sz="8" w:space="0" w:color="000000"/>
              <w:bottom w:val="single" w:sz="8" w:space="0" w:color="000000"/>
              <w:right w:val="single" w:sz="8" w:space="0" w:color="000000"/>
            </w:tcBorders>
          </w:tcPr>
          <w:p w14:paraId="2F0B2349" w14:textId="54B71CCE" w:rsidR="004E2BE0" w:rsidRPr="0011634F" w:rsidRDefault="004E2BE0" w:rsidP="004E2BE0">
            <w:pPr>
              <w:widowControl w:val="0"/>
              <w:autoSpaceDE w:val="0"/>
              <w:autoSpaceDN w:val="0"/>
              <w:spacing w:before="21" w:after="0" w:line="240" w:lineRule="auto"/>
              <w:ind w:left="53"/>
              <w:rPr>
                <w:rFonts w:eastAsia="Times New Roman" w:cs="Arial"/>
                <w:sz w:val="20"/>
                <w:szCs w:val="20"/>
              </w:rPr>
            </w:pPr>
            <w:r>
              <w:rPr>
                <w:rFonts w:eastAsia="Times New Roman" w:cs="Arial"/>
                <w:sz w:val="20"/>
                <w:szCs w:val="20"/>
              </w:rPr>
              <w:t>Dirt and/or rock</w:t>
            </w:r>
          </w:p>
        </w:tc>
        <w:tc>
          <w:tcPr>
            <w:tcW w:w="1260" w:type="dxa"/>
            <w:tcBorders>
              <w:top w:val="single" w:sz="8" w:space="0" w:color="000000"/>
              <w:left w:val="single" w:sz="8" w:space="0" w:color="000000"/>
              <w:bottom w:val="single" w:sz="8" w:space="0" w:color="000000"/>
              <w:right w:val="single" w:sz="8" w:space="0" w:color="000000"/>
            </w:tcBorders>
          </w:tcPr>
          <w:p w14:paraId="59556EC6" w14:textId="0FD8DB63" w:rsidR="004E2BE0" w:rsidRPr="0011634F" w:rsidRDefault="004E2BE0" w:rsidP="004E2BE0">
            <w:pPr>
              <w:widowControl w:val="0"/>
              <w:autoSpaceDE w:val="0"/>
              <w:autoSpaceDN w:val="0"/>
              <w:spacing w:before="21" w:after="0" w:line="240" w:lineRule="auto"/>
              <w:ind w:right="22"/>
              <w:jc w:val="center"/>
              <w:rPr>
                <w:rFonts w:eastAsia="Times New Roman" w:cs="Arial"/>
                <w:sz w:val="20"/>
                <w:szCs w:val="20"/>
              </w:rPr>
            </w:pPr>
            <w:r>
              <w:rPr>
                <w:rFonts w:eastAsia="Times New Roman" w:cs="Arial"/>
                <w:sz w:val="20"/>
                <w:szCs w:val="20"/>
              </w:rPr>
              <w:t>60</w:t>
            </w:r>
          </w:p>
        </w:tc>
        <w:tc>
          <w:tcPr>
            <w:tcW w:w="1080" w:type="dxa"/>
            <w:tcBorders>
              <w:top w:val="single" w:sz="8" w:space="0" w:color="000000"/>
              <w:left w:val="single" w:sz="8" w:space="0" w:color="000000"/>
              <w:bottom w:val="single" w:sz="8" w:space="0" w:color="000000"/>
              <w:right w:val="single" w:sz="8" w:space="0" w:color="000000"/>
            </w:tcBorders>
          </w:tcPr>
          <w:p w14:paraId="3D87982B" w14:textId="0D65228F" w:rsidR="004E2BE0" w:rsidRPr="0011634F" w:rsidRDefault="004E2BE0" w:rsidP="004E2BE0">
            <w:pPr>
              <w:widowControl w:val="0"/>
              <w:autoSpaceDE w:val="0"/>
              <w:autoSpaceDN w:val="0"/>
              <w:spacing w:before="21" w:after="0" w:line="240" w:lineRule="auto"/>
              <w:ind w:left="18"/>
              <w:jc w:val="center"/>
              <w:rPr>
                <w:rFonts w:eastAsia="Times New Roman" w:cs="Arial"/>
                <w:sz w:val="20"/>
                <w:szCs w:val="20"/>
              </w:rPr>
            </w:pPr>
            <w:r>
              <w:rPr>
                <w:rFonts w:eastAsia="Times New Roman" w:cs="Arial"/>
                <w:sz w:val="20"/>
                <w:szCs w:val="20"/>
              </w:rPr>
              <w:t>YD</w:t>
            </w:r>
          </w:p>
        </w:tc>
        <w:tc>
          <w:tcPr>
            <w:tcW w:w="1260" w:type="dxa"/>
            <w:tcBorders>
              <w:top w:val="single" w:sz="8" w:space="0" w:color="000000"/>
              <w:left w:val="single" w:sz="8" w:space="0" w:color="000000"/>
              <w:bottom w:val="single" w:sz="8" w:space="0" w:color="000000"/>
              <w:right w:val="single" w:sz="8" w:space="0" w:color="000000"/>
            </w:tcBorders>
          </w:tcPr>
          <w:p w14:paraId="15E5753A" w14:textId="2DA14B38" w:rsidR="004E2BE0" w:rsidRPr="0011634F" w:rsidRDefault="004E2BE0" w:rsidP="004E2BE0">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1ECEF01D" w14:textId="1FCF71A5" w:rsidR="004E2BE0" w:rsidRPr="0011634F" w:rsidRDefault="004E2BE0" w:rsidP="004E2BE0">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4E2BE0" w:rsidRPr="0011634F" w14:paraId="0B0CE026" w14:textId="77777777" w:rsidTr="00817D06">
        <w:trPr>
          <w:trHeight w:hRule="exact" w:val="305"/>
          <w:jc w:val="center"/>
        </w:trPr>
        <w:tc>
          <w:tcPr>
            <w:tcW w:w="720" w:type="dxa"/>
            <w:tcBorders>
              <w:top w:val="single" w:sz="8" w:space="0" w:color="000000"/>
              <w:left w:val="nil"/>
              <w:bottom w:val="double" w:sz="12" w:space="0" w:color="000000"/>
              <w:right w:val="single" w:sz="8" w:space="0" w:color="000000"/>
            </w:tcBorders>
          </w:tcPr>
          <w:p w14:paraId="756DF05E" w14:textId="77777777" w:rsidR="004E2BE0" w:rsidRPr="0011634F" w:rsidRDefault="004E2BE0" w:rsidP="004E2BE0">
            <w:pPr>
              <w:widowControl w:val="0"/>
              <w:autoSpaceDE w:val="0"/>
              <w:autoSpaceDN w:val="0"/>
              <w:spacing w:before="21" w:after="0" w:line="240" w:lineRule="auto"/>
              <w:ind w:right="47"/>
              <w:jc w:val="center"/>
              <w:rPr>
                <w:rFonts w:eastAsia="Times New Roman" w:cs="Arial"/>
                <w:sz w:val="20"/>
                <w:szCs w:val="20"/>
              </w:rPr>
            </w:pPr>
          </w:p>
        </w:tc>
        <w:tc>
          <w:tcPr>
            <w:tcW w:w="4566" w:type="dxa"/>
            <w:tcBorders>
              <w:top w:val="single" w:sz="8" w:space="0" w:color="000000"/>
              <w:left w:val="single" w:sz="8" w:space="0" w:color="000000"/>
              <w:bottom w:val="double" w:sz="12" w:space="0" w:color="000000"/>
              <w:right w:val="single" w:sz="8" w:space="0" w:color="000000"/>
            </w:tcBorders>
            <w:shd w:val="clear" w:color="auto" w:fill="D9E2F3" w:themeFill="accent1" w:themeFillTint="33"/>
          </w:tcPr>
          <w:p w14:paraId="15AB417C" w14:textId="496C4A8B" w:rsidR="004E2BE0" w:rsidRPr="0011634F" w:rsidRDefault="004E2BE0" w:rsidP="004E2BE0">
            <w:pPr>
              <w:widowControl w:val="0"/>
              <w:autoSpaceDE w:val="0"/>
              <w:autoSpaceDN w:val="0"/>
              <w:spacing w:before="21" w:after="0" w:line="240" w:lineRule="auto"/>
              <w:ind w:left="54"/>
              <w:rPr>
                <w:rFonts w:eastAsia="Times New Roman" w:cs="Arial"/>
                <w:sz w:val="20"/>
                <w:szCs w:val="20"/>
              </w:rPr>
            </w:pPr>
            <w:r>
              <w:rPr>
                <w:rFonts w:eastAsia="Times New Roman" w:cs="Arial"/>
                <w:sz w:val="20"/>
                <w:szCs w:val="20"/>
              </w:rPr>
              <w:t>TOTAL</w:t>
            </w:r>
          </w:p>
        </w:tc>
        <w:tc>
          <w:tcPr>
            <w:tcW w:w="1260" w:type="dxa"/>
            <w:tcBorders>
              <w:top w:val="single" w:sz="8" w:space="0" w:color="000000"/>
              <w:left w:val="single" w:sz="8" w:space="0" w:color="000000"/>
              <w:bottom w:val="double" w:sz="12" w:space="0" w:color="000000"/>
              <w:right w:val="single" w:sz="8" w:space="0" w:color="000000"/>
            </w:tcBorders>
          </w:tcPr>
          <w:p w14:paraId="65FBE4EC" w14:textId="77777777" w:rsidR="004E2BE0" w:rsidRPr="0011634F" w:rsidRDefault="004E2BE0" w:rsidP="004E2BE0">
            <w:pPr>
              <w:widowControl w:val="0"/>
              <w:autoSpaceDE w:val="0"/>
              <w:autoSpaceDN w:val="0"/>
              <w:spacing w:before="21" w:after="0" w:line="240" w:lineRule="auto"/>
              <w:ind w:right="21"/>
              <w:jc w:val="center"/>
              <w:rPr>
                <w:rFonts w:eastAsia="Times New Roman" w:cs="Arial"/>
                <w:sz w:val="20"/>
                <w:szCs w:val="20"/>
              </w:rPr>
            </w:pPr>
          </w:p>
        </w:tc>
        <w:tc>
          <w:tcPr>
            <w:tcW w:w="1080" w:type="dxa"/>
            <w:tcBorders>
              <w:top w:val="single" w:sz="8" w:space="0" w:color="000000"/>
              <w:left w:val="single" w:sz="8" w:space="0" w:color="000000"/>
              <w:bottom w:val="double" w:sz="12" w:space="0" w:color="000000"/>
              <w:right w:val="single" w:sz="8" w:space="0" w:color="000000"/>
            </w:tcBorders>
          </w:tcPr>
          <w:p w14:paraId="0B8A1864" w14:textId="77777777" w:rsidR="004E2BE0" w:rsidRPr="0011634F" w:rsidRDefault="004E2BE0" w:rsidP="004E2BE0">
            <w:pPr>
              <w:widowControl w:val="0"/>
              <w:autoSpaceDE w:val="0"/>
              <w:autoSpaceDN w:val="0"/>
              <w:spacing w:before="21" w:after="0" w:line="240" w:lineRule="auto"/>
              <w:ind w:left="18"/>
              <w:jc w:val="center"/>
              <w:rPr>
                <w:rFonts w:eastAsia="Times New Roman" w:cs="Arial"/>
                <w:sz w:val="20"/>
                <w:szCs w:val="20"/>
              </w:rPr>
            </w:pPr>
          </w:p>
        </w:tc>
        <w:tc>
          <w:tcPr>
            <w:tcW w:w="1260" w:type="dxa"/>
            <w:tcBorders>
              <w:top w:val="single" w:sz="8" w:space="0" w:color="000000"/>
              <w:left w:val="single" w:sz="8" w:space="0" w:color="000000"/>
              <w:bottom w:val="double" w:sz="12" w:space="0" w:color="000000"/>
              <w:right w:val="single" w:sz="8" w:space="0" w:color="000000"/>
            </w:tcBorders>
            <w:shd w:val="clear" w:color="auto" w:fill="D9E2F3" w:themeFill="accent1" w:themeFillTint="33"/>
          </w:tcPr>
          <w:p w14:paraId="4BD661F6" w14:textId="384653A7" w:rsidR="004E2BE0" w:rsidRPr="0011634F" w:rsidRDefault="004E2BE0" w:rsidP="004E2BE0">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double" w:sz="12" w:space="0" w:color="000000"/>
              <w:right w:val="nil"/>
            </w:tcBorders>
            <w:shd w:val="clear" w:color="auto" w:fill="D9E2F3" w:themeFill="accent1" w:themeFillTint="33"/>
          </w:tcPr>
          <w:p w14:paraId="7A78E598" w14:textId="7D041032" w:rsidR="004E2BE0" w:rsidRPr="0011634F" w:rsidRDefault="004E2BE0" w:rsidP="004E2BE0">
            <w:pPr>
              <w:widowControl w:val="0"/>
              <w:autoSpaceDE w:val="0"/>
              <w:autoSpaceDN w:val="0"/>
              <w:spacing w:before="24" w:after="0" w:line="240" w:lineRule="auto"/>
              <w:ind w:right="76"/>
              <w:rPr>
                <w:rFonts w:eastAsia="Times New Roman" w:cs="Arial"/>
                <w:sz w:val="20"/>
                <w:szCs w:val="20"/>
              </w:rPr>
            </w:pPr>
            <w:r>
              <w:rPr>
                <w:rFonts w:eastAsia="Times New Roman" w:cs="Arial"/>
                <w:sz w:val="20"/>
                <w:szCs w:val="20"/>
              </w:rPr>
              <w:t>$</w:t>
            </w:r>
          </w:p>
        </w:tc>
      </w:tr>
    </w:tbl>
    <w:p w14:paraId="1A792A8E" w14:textId="356254F7" w:rsidR="0011634F" w:rsidRDefault="0011634F"/>
    <w:p w14:paraId="1862573B" w14:textId="0FB94190" w:rsidR="0011634F" w:rsidRDefault="0011634F"/>
    <w:p w14:paraId="0249FB48" w14:textId="7E76D66D" w:rsidR="00C96F7B" w:rsidRDefault="003649FA">
      <w:r>
        <w:t>The c</w:t>
      </w:r>
      <w:r w:rsidR="00C96F7B">
        <w:t>ontractor must comply with all record keeping and reporting requirements</w:t>
      </w:r>
      <w:r w:rsidR="004554C4">
        <w:t xml:space="preserve"> </w:t>
      </w:r>
      <w:r w:rsidR="00C96F7B">
        <w:t>which include</w:t>
      </w:r>
      <w:r w:rsidR="004554C4">
        <w:t>s</w:t>
      </w:r>
      <w:r w:rsidR="00C96F7B">
        <w:t xml:space="preserve"> the documentation and use of appropriate best management practices</w:t>
      </w:r>
      <w:r w:rsidR="004554C4">
        <w:t>.</w:t>
      </w:r>
      <w:r w:rsidR="004630C3">
        <w:t xml:space="preserve"> All work must be incompliance with ALDOT specs and drawings.</w:t>
      </w:r>
    </w:p>
    <w:p w14:paraId="2CE43BAD" w14:textId="779763A8" w:rsidR="00817D06" w:rsidRDefault="00B918D0">
      <w:r w:rsidRPr="00B918D0">
        <w:rPr>
          <w:szCs w:val="24"/>
        </w:rPr>
        <w:t xml:space="preserve">Contractor must begin work within seven (7) days from bid award and work continuously until project completion unless weather or other unforeseen site circumstances interferes with work. Daphne Utilities will supply the sewer pipe; contractor to supply manholes, labor, </w:t>
      </w:r>
      <w:proofErr w:type="gramStart"/>
      <w:r w:rsidRPr="00B918D0">
        <w:rPr>
          <w:szCs w:val="24"/>
        </w:rPr>
        <w:t>equipment</w:t>
      </w:r>
      <w:proofErr w:type="gramEnd"/>
      <w:r w:rsidRPr="00B918D0">
        <w:rPr>
          <w:szCs w:val="24"/>
        </w:rPr>
        <w:t xml:space="preserve"> and other materials needed.</w:t>
      </w:r>
      <w:r w:rsidRPr="00B50EE1">
        <w:rPr>
          <w:i/>
          <w:iCs/>
          <w:sz w:val="20"/>
          <w:szCs w:val="20"/>
        </w:rPr>
        <w:t xml:space="preserve"> </w:t>
      </w:r>
      <w:r w:rsidR="00B21A79">
        <w:t>Weather delays must be documented and approved by Daphne Utilities General Manager or his designee.</w:t>
      </w:r>
    </w:p>
    <w:p w14:paraId="1EEDBE7C" w14:textId="1C495575" w:rsidR="006A063D" w:rsidRDefault="003649FA">
      <w:r>
        <w:t xml:space="preserve">Change orders shall be mutually agreed upon and based upon written authorization from </w:t>
      </w:r>
      <w:r w:rsidR="00EC5DDC">
        <w:t>Daphne Utilities General Manager or his designee</w:t>
      </w:r>
      <w:r>
        <w:t>. Any defects in the work performed must be corrected before the project is eligible for payment.</w:t>
      </w:r>
    </w:p>
    <w:p w14:paraId="1CCDC3EF" w14:textId="77777777" w:rsidR="0015076F" w:rsidRDefault="0015076F"/>
    <w:p w14:paraId="6EC036F0" w14:textId="6E7F4DBE" w:rsidR="001959B9" w:rsidRDefault="001959B9"/>
    <w:p w14:paraId="24D66903" w14:textId="50875CA6" w:rsidR="00327F7B" w:rsidRDefault="00327F7B"/>
    <w:p w14:paraId="73FA2DDC" w14:textId="5FBE3DCB" w:rsidR="00327F7B" w:rsidRDefault="00327F7B"/>
    <w:p w14:paraId="6561C030" w14:textId="77777777" w:rsidR="005543D7" w:rsidRPr="00F076A5" w:rsidRDefault="005543D7" w:rsidP="005543D7">
      <w:pPr>
        <w:spacing w:after="0" w:line="240" w:lineRule="auto"/>
        <w:rPr>
          <w:sz w:val="36"/>
          <w:szCs w:val="36"/>
        </w:rPr>
      </w:pPr>
      <w:r w:rsidRPr="00F076A5">
        <w:rPr>
          <w:noProof/>
          <w:sz w:val="36"/>
          <w:szCs w:val="36"/>
        </w:rPr>
        <w:lastRenderedPageBreak/>
        <w:drawing>
          <wp:anchor distT="0" distB="0" distL="114300" distR="114300" simplePos="0" relativeHeight="251663360" behindDoc="0" locked="0" layoutInCell="1" allowOverlap="1" wp14:anchorId="67651E39" wp14:editId="2D4550B1">
            <wp:simplePos x="0" y="0"/>
            <wp:positionH relativeFrom="margin">
              <wp:posOffset>4267200</wp:posOffset>
            </wp:positionH>
            <wp:positionV relativeFrom="paragraph">
              <wp:posOffset>-146050</wp:posOffset>
            </wp:positionV>
            <wp:extent cx="1581150" cy="1270653"/>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7216CC06" w14:textId="77777777" w:rsidR="005543D7" w:rsidRPr="00F076A5" w:rsidRDefault="005543D7" w:rsidP="005543D7">
      <w:pPr>
        <w:spacing w:after="0" w:line="240" w:lineRule="auto"/>
        <w:rPr>
          <w:sz w:val="32"/>
          <w:szCs w:val="32"/>
        </w:rPr>
      </w:pPr>
      <w:r w:rsidRPr="00F076A5">
        <w:rPr>
          <w:sz w:val="32"/>
          <w:szCs w:val="32"/>
        </w:rPr>
        <w:t>Request for Bid</w:t>
      </w:r>
    </w:p>
    <w:p w14:paraId="4ED0E7C4" w14:textId="77777777" w:rsidR="00B918D0" w:rsidRPr="001A15B1" w:rsidRDefault="00B918D0" w:rsidP="00B918D0">
      <w:pPr>
        <w:spacing w:after="0" w:line="240" w:lineRule="auto"/>
        <w:rPr>
          <w:sz w:val="20"/>
          <w:szCs w:val="20"/>
        </w:rPr>
      </w:pPr>
      <w:r>
        <w:rPr>
          <w:sz w:val="20"/>
          <w:szCs w:val="20"/>
        </w:rPr>
        <w:t>Relocate Sewer Line</w:t>
      </w:r>
      <w:r w:rsidRPr="001A15B1">
        <w:rPr>
          <w:sz w:val="20"/>
          <w:szCs w:val="20"/>
        </w:rPr>
        <w:t xml:space="preserve"> </w:t>
      </w:r>
    </w:p>
    <w:p w14:paraId="3F583AF8" w14:textId="77777777" w:rsidR="00B918D0" w:rsidRPr="001A15B1" w:rsidRDefault="00B918D0" w:rsidP="00B918D0">
      <w:pPr>
        <w:spacing w:after="0" w:line="240" w:lineRule="auto"/>
        <w:rPr>
          <w:sz w:val="20"/>
          <w:szCs w:val="20"/>
        </w:rPr>
      </w:pPr>
      <w:r>
        <w:rPr>
          <w:sz w:val="20"/>
          <w:szCs w:val="20"/>
        </w:rPr>
        <w:t>Spaniel Drive</w:t>
      </w:r>
    </w:p>
    <w:p w14:paraId="36DB2418" w14:textId="77777777" w:rsidR="00B918D0" w:rsidRPr="00F076A5" w:rsidRDefault="00B918D0" w:rsidP="00B918D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w:t>
      </w:r>
    </w:p>
    <w:p w14:paraId="628F8179" w14:textId="77777777" w:rsidR="00662D71" w:rsidRDefault="00662D71"/>
    <w:p w14:paraId="0A1C8121" w14:textId="00B6094D" w:rsidR="00181C56" w:rsidRPr="00327F7B" w:rsidRDefault="00181C56">
      <w:pPr>
        <w:rPr>
          <w:sz w:val="20"/>
          <w:szCs w:val="20"/>
        </w:rPr>
      </w:pPr>
      <w:r w:rsidRPr="00327F7B">
        <w:rPr>
          <w:sz w:val="20"/>
          <w:szCs w:val="20"/>
        </w:rPr>
        <w:t>I have read and understood the terms and conditions and the bid specifications of this bid.  I have provided or will provide at the appropriate time, all documentation required.  Omission of any required documentation may result in the bid being deemed unresponsive by Daphne Utilities.</w:t>
      </w:r>
    </w:p>
    <w:p w14:paraId="23B05592" w14:textId="7D4C4BF2" w:rsidR="00B7718F" w:rsidRPr="00327F7B" w:rsidRDefault="00B7718F">
      <w:pPr>
        <w:rPr>
          <w:sz w:val="20"/>
          <w:szCs w:val="20"/>
        </w:rPr>
      </w:pPr>
      <w:r w:rsidRPr="00327F7B">
        <w:rPr>
          <w:sz w:val="20"/>
          <w:szCs w:val="20"/>
        </w:rPr>
        <w:t>Under penalty of perjury, bidder certifies that this bid has been arrived at by the bidder independently and has been submitted without collusion with any other vendor of materials or services for the type described in this invitation to bid.</w:t>
      </w:r>
    </w:p>
    <w:p w14:paraId="10D0359D" w14:textId="77777777" w:rsidR="00EC5DDC" w:rsidRDefault="00EC5DDC" w:rsidP="005543D7">
      <w:pPr>
        <w:spacing w:after="0" w:line="240" w:lineRule="auto"/>
      </w:pPr>
    </w:p>
    <w:p w14:paraId="5C674F78" w14:textId="4EFB1136"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966C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133B6"/>
    <w:rsid w:val="00027639"/>
    <w:rsid w:val="0011634F"/>
    <w:rsid w:val="0015076F"/>
    <w:rsid w:val="00153367"/>
    <w:rsid w:val="00156FDA"/>
    <w:rsid w:val="00181C56"/>
    <w:rsid w:val="001959B9"/>
    <w:rsid w:val="001A15B1"/>
    <w:rsid w:val="001F5BC5"/>
    <w:rsid w:val="00300868"/>
    <w:rsid w:val="00327F7B"/>
    <w:rsid w:val="003649FA"/>
    <w:rsid w:val="003C4086"/>
    <w:rsid w:val="004554C4"/>
    <w:rsid w:val="004630C3"/>
    <w:rsid w:val="004E2BE0"/>
    <w:rsid w:val="00547D43"/>
    <w:rsid w:val="005543D7"/>
    <w:rsid w:val="005A4D65"/>
    <w:rsid w:val="00662D71"/>
    <w:rsid w:val="006A063D"/>
    <w:rsid w:val="006B19A9"/>
    <w:rsid w:val="00817D06"/>
    <w:rsid w:val="008E157F"/>
    <w:rsid w:val="008F0E0D"/>
    <w:rsid w:val="009417C2"/>
    <w:rsid w:val="00957316"/>
    <w:rsid w:val="00966C69"/>
    <w:rsid w:val="00A41760"/>
    <w:rsid w:val="00A87A1A"/>
    <w:rsid w:val="00A902D9"/>
    <w:rsid w:val="00B21A79"/>
    <w:rsid w:val="00B67F48"/>
    <w:rsid w:val="00B7718F"/>
    <w:rsid w:val="00B9164F"/>
    <w:rsid w:val="00B918D0"/>
    <w:rsid w:val="00C67D2B"/>
    <w:rsid w:val="00C96F7B"/>
    <w:rsid w:val="00CD45A4"/>
    <w:rsid w:val="00DD65CE"/>
    <w:rsid w:val="00E501FA"/>
    <w:rsid w:val="00EB1123"/>
    <w:rsid w:val="00EC5DDC"/>
    <w:rsid w:val="00EE3D85"/>
    <w:rsid w:val="00E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5</cp:revision>
  <cp:lastPrinted>2022-02-16T15:59:00Z</cp:lastPrinted>
  <dcterms:created xsi:type="dcterms:W3CDTF">2022-02-16T15:57:00Z</dcterms:created>
  <dcterms:modified xsi:type="dcterms:W3CDTF">2022-02-17T22:01:00Z</dcterms:modified>
</cp:coreProperties>
</file>