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5CF" w:rsidRDefault="003255CF" w:rsidP="003255CF">
      <w:pPr>
        <w:jc w:val="center"/>
        <w:rPr>
          <w:rFonts w:ascii="Arial" w:hAnsi="Arial" w:cs="Arial"/>
          <w:b/>
          <w:bCs/>
          <w:color w:val="000000"/>
          <w:sz w:val="24"/>
          <w:szCs w:val="24"/>
          <w:u w:val="single"/>
        </w:rPr>
      </w:pPr>
      <w:bookmarkStart w:id="0" w:name="_GoBack"/>
      <w:bookmarkEnd w:id="0"/>
    </w:p>
    <w:p w:rsidR="003255CF" w:rsidRDefault="003255CF" w:rsidP="003255CF">
      <w:pPr>
        <w:jc w:val="center"/>
        <w:rPr>
          <w:rFonts w:ascii="Arial" w:hAnsi="Arial" w:cs="Arial"/>
          <w:b/>
          <w:bCs/>
          <w:color w:val="000000"/>
          <w:sz w:val="24"/>
          <w:szCs w:val="24"/>
          <w:u w:val="single"/>
        </w:rPr>
      </w:pPr>
      <w:r>
        <w:rPr>
          <w:rFonts w:ascii="Arial" w:hAnsi="Arial" w:cs="Arial"/>
          <w:b/>
          <w:bCs/>
          <w:color w:val="000000"/>
          <w:sz w:val="24"/>
          <w:szCs w:val="24"/>
          <w:u w:val="single"/>
        </w:rPr>
        <w:t>CITY OF LAGRANGE</w:t>
      </w:r>
    </w:p>
    <w:p w:rsidR="003255CF" w:rsidRDefault="003255CF" w:rsidP="003255CF">
      <w:pPr>
        <w:jc w:val="center"/>
        <w:rPr>
          <w:rFonts w:ascii="Arial" w:hAnsi="Arial" w:cs="Arial"/>
          <w:color w:val="000000"/>
          <w:sz w:val="24"/>
          <w:szCs w:val="24"/>
        </w:rPr>
      </w:pPr>
      <w:r>
        <w:rPr>
          <w:rFonts w:ascii="Arial" w:hAnsi="Arial" w:cs="Arial"/>
          <w:b/>
          <w:bCs/>
          <w:color w:val="000000"/>
          <w:sz w:val="24"/>
          <w:szCs w:val="24"/>
          <w:u w:val="single"/>
        </w:rPr>
        <w:t>REQUEST FOR PROPOSALS</w:t>
      </w:r>
    </w:p>
    <w:p w:rsidR="003255CF" w:rsidRDefault="003255CF" w:rsidP="003255CF">
      <w:pPr>
        <w:jc w:val="center"/>
        <w:rPr>
          <w:rFonts w:ascii="Arial" w:hAnsi="Arial" w:cs="Arial"/>
          <w:b/>
          <w:bCs/>
          <w:color w:val="000000"/>
          <w:sz w:val="24"/>
          <w:szCs w:val="24"/>
          <w:u w:val="single"/>
        </w:rPr>
      </w:pPr>
      <w:r>
        <w:rPr>
          <w:rFonts w:ascii="Arial" w:hAnsi="Arial" w:cs="Arial"/>
          <w:b/>
          <w:bCs/>
          <w:color w:val="000000"/>
          <w:sz w:val="24"/>
          <w:szCs w:val="24"/>
          <w:u w:val="single"/>
        </w:rPr>
        <w:t>ADMINISTRATIVE &amp; RELATED GRANT SERVICES</w:t>
      </w:r>
    </w:p>
    <w:p w:rsidR="003255CF" w:rsidRDefault="003255CF" w:rsidP="003255CF">
      <w:pPr>
        <w:jc w:val="center"/>
        <w:rPr>
          <w:rFonts w:ascii="Arial" w:hAnsi="Arial" w:cs="Arial"/>
          <w:color w:val="000000"/>
          <w:sz w:val="24"/>
          <w:szCs w:val="24"/>
        </w:rPr>
      </w:pPr>
    </w:p>
    <w:p w:rsidR="003255CF" w:rsidRDefault="003255CF" w:rsidP="003255CF">
      <w:pPr>
        <w:rPr>
          <w:rFonts w:ascii="Arial" w:hAnsi="Arial" w:cs="Arial"/>
          <w:sz w:val="24"/>
          <w:szCs w:val="24"/>
        </w:rPr>
      </w:pPr>
      <w:r>
        <w:rPr>
          <w:rFonts w:ascii="Arial" w:hAnsi="Arial" w:cs="Arial"/>
          <w:color w:val="000000"/>
          <w:sz w:val="24"/>
          <w:szCs w:val="24"/>
        </w:rPr>
        <w:t>Statements of qualifications and proposals are being requested from consultants with a strong record in successfully assisting local governments with grant writing for and implementation of Community Development Block Grant (CDBG) programs.  Responding firms should be qualified to provide grant administration and related services</w:t>
      </w:r>
      <w:r>
        <w:rPr>
          <w:rFonts w:ascii="Arial" w:hAnsi="Arial" w:cs="Arial"/>
          <w:sz w:val="24"/>
          <w:szCs w:val="24"/>
        </w:rPr>
        <w:t xml:space="preserve"> including, but not limited to: Preparation of the grant application; Preparation of the Environmental Review Record; Preparation of draw/disbursement requests; Assistance with financial administration of grant funds and record keeping; Assistance with holding public hearings; Assistance with any required acquisition following the Uniform Relocation Assistance and Real Property Acquisition Act (URA); Assisting the engineer/architect with preparation of bid documents, advertising and conducting the bid opening; Assisting the city/county with Davis-Bacon and related labor requirements including we</w:t>
      </w:r>
      <w:r w:rsidR="00320979">
        <w:rPr>
          <w:rFonts w:ascii="Arial" w:hAnsi="Arial" w:cs="Arial"/>
          <w:sz w:val="24"/>
          <w:szCs w:val="24"/>
        </w:rPr>
        <w:t>ekly payroll review and employee</w:t>
      </w:r>
      <w:r>
        <w:rPr>
          <w:rFonts w:ascii="Arial" w:hAnsi="Arial" w:cs="Arial"/>
          <w:sz w:val="24"/>
          <w:szCs w:val="24"/>
        </w:rPr>
        <w:t xml:space="preserve"> </w:t>
      </w:r>
    </w:p>
    <w:p w:rsidR="003255CF" w:rsidRDefault="003255CF" w:rsidP="003255CF">
      <w:pPr>
        <w:jc w:val="both"/>
        <w:rPr>
          <w:rFonts w:ascii="Arial" w:hAnsi="Arial" w:cs="Arial"/>
          <w:sz w:val="24"/>
          <w:szCs w:val="24"/>
        </w:rPr>
      </w:pPr>
      <w:r>
        <w:rPr>
          <w:rFonts w:ascii="Arial" w:hAnsi="Arial" w:cs="Arial"/>
          <w:sz w:val="24"/>
          <w:szCs w:val="24"/>
        </w:rPr>
        <w:t xml:space="preserve">interviews; Assisting the city with meeting Affirmatively Furthering Fair Housing (AFFH) requirements; and Preparation of close-out documents.  </w:t>
      </w:r>
    </w:p>
    <w:p w:rsidR="003255CF" w:rsidRDefault="00320979" w:rsidP="003255CF">
      <w:pPr>
        <w:jc w:val="both"/>
        <w:rPr>
          <w:rFonts w:ascii="Arial" w:hAnsi="Arial" w:cs="Arial"/>
          <w:color w:val="000000"/>
          <w:sz w:val="24"/>
          <w:szCs w:val="24"/>
        </w:rPr>
      </w:pPr>
      <w:r w:rsidRPr="00320979">
        <w:rPr>
          <w:rFonts w:ascii="Arial" w:hAnsi="Arial" w:cs="Arial"/>
          <w:color w:val="000000"/>
          <w:sz w:val="24"/>
          <w:szCs w:val="24"/>
        </w:rPr>
        <w:t xml:space="preserve">City of LaGrange </w:t>
      </w:r>
      <w:r w:rsidR="003255CF" w:rsidRPr="00320979">
        <w:rPr>
          <w:rFonts w:ascii="Arial" w:hAnsi="Arial" w:cs="Arial"/>
          <w:color w:val="000000"/>
          <w:sz w:val="24"/>
          <w:szCs w:val="24"/>
        </w:rPr>
        <w:t>plans</w:t>
      </w:r>
      <w:r w:rsidR="003255CF">
        <w:rPr>
          <w:rFonts w:ascii="Arial" w:hAnsi="Arial" w:cs="Arial"/>
          <w:color w:val="000000"/>
          <w:sz w:val="24"/>
          <w:szCs w:val="24"/>
        </w:rPr>
        <w:t xml:space="preserve"> are to contract with a reputable consulting </w:t>
      </w:r>
      <w:r w:rsidR="003255CF">
        <w:rPr>
          <w:rFonts w:ascii="Arial" w:hAnsi="Arial" w:cs="Arial"/>
          <w:sz w:val="24"/>
          <w:szCs w:val="24"/>
        </w:rPr>
        <w:t>firm for grant writing, and, if funded, for administration services, for a FY2019/2020 CDBG project</w:t>
      </w:r>
      <w:r w:rsidR="003255CF">
        <w:rPr>
          <w:rFonts w:ascii="Arial" w:hAnsi="Arial" w:cs="Arial"/>
          <w:color w:val="000000"/>
          <w:sz w:val="24"/>
          <w:szCs w:val="24"/>
        </w:rPr>
        <w:t xml:space="preserve">. The purpose of the project is to provide for transformation of the LaGrange community by acquiring, constructing, and rehabilitating properties to be re-purposed for affordable housing, future commercial development, and a workforce development center for low-income residents.  </w:t>
      </w:r>
    </w:p>
    <w:p w:rsidR="003255CF" w:rsidRDefault="003255CF" w:rsidP="003255CF">
      <w:pPr>
        <w:jc w:val="both"/>
        <w:rPr>
          <w:rFonts w:ascii="Arial" w:hAnsi="Arial" w:cs="Arial"/>
          <w:color w:val="000000"/>
          <w:sz w:val="24"/>
          <w:szCs w:val="24"/>
        </w:rPr>
      </w:pPr>
      <w:r>
        <w:rPr>
          <w:rFonts w:ascii="Arial" w:hAnsi="Arial" w:cs="Arial"/>
          <w:color w:val="000000"/>
          <w:sz w:val="24"/>
          <w:szCs w:val="24"/>
        </w:rPr>
        <w:t>  </w:t>
      </w:r>
    </w:p>
    <w:p w:rsidR="003255CF" w:rsidRDefault="003255CF" w:rsidP="003255CF">
      <w:pPr>
        <w:jc w:val="both"/>
        <w:rPr>
          <w:rFonts w:ascii="Arial" w:hAnsi="Arial" w:cs="Arial"/>
          <w:b/>
          <w:bCs/>
          <w:color w:val="000000"/>
          <w:sz w:val="24"/>
          <w:szCs w:val="24"/>
        </w:rPr>
      </w:pPr>
      <w:r>
        <w:rPr>
          <w:rFonts w:ascii="Arial" w:hAnsi="Arial" w:cs="Arial"/>
          <w:b/>
          <w:bCs/>
          <w:color w:val="000000"/>
          <w:sz w:val="24"/>
          <w:szCs w:val="24"/>
        </w:rPr>
        <w:t>Information which should be submitted for our evaluation is as follows</w:t>
      </w:r>
      <w:r>
        <w:rPr>
          <w:rFonts w:ascii="Arial" w:hAnsi="Arial" w:cs="Arial"/>
          <w:color w:val="000000"/>
          <w:sz w:val="24"/>
          <w:szCs w:val="24"/>
        </w:rPr>
        <w:t>:</w:t>
      </w:r>
    </w:p>
    <w:p w:rsidR="003255CF" w:rsidRDefault="003255CF" w:rsidP="003255CF">
      <w:pPr>
        <w:numPr>
          <w:ilvl w:val="0"/>
          <w:numId w:val="1"/>
        </w:numPr>
        <w:jc w:val="both"/>
        <w:rPr>
          <w:rFonts w:ascii="Arial" w:hAnsi="Arial" w:cs="Arial"/>
          <w:b/>
          <w:bCs/>
          <w:color w:val="000000"/>
          <w:sz w:val="24"/>
          <w:szCs w:val="24"/>
        </w:rPr>
      </w:pPr>
      <w:r>
        <w:rPr>
          <w:rFonts w:ascii="Arial" w:hAnsi="Arial" w:cs="Arial"/>
          <w:b/>
          <w:bCs/>
          <w:color w:val="000000"/>
          <w:sz w:val="24"/>
          <w:szCs w:val="24"/>
        </w:rPr>
        <w:t>History of firm and resources</w:t>
      </w:r>
    </w:p>
    <w:p w:rsidR="003255CF" w:rsidRDefault="003255CF" w:rsidP="003255CF">
      <w:pPr>
        <w:numPr>
          <w:ilvl w:val="0"/>
          <w:numId w:val="1"/>
        </w:numPr>
        <w:jc w:val="both"/>
        <w:rPr>
          <w:rFonts w:ascii="Arial" w:hAnsi="Arial" w:cs="Arial"/>
          <w:b/>
          <w:bCs/>
          <w:color w:val="000000"/>
          <w:sz w:val="24"/>
          <w:szCs w:val="24"/>
        </w:rPr>
      </w:pPr>
      <w:r>
        <w:rPr>
          <w:rFonts w:ascii="Arial" w:hAnsi="Arial" w:cs="Arial"/>
          <w:b/>
          <w:bCs/>
          <w:color w:val="000000"/>
          <w:sz w:val="24"/>
          <w:szCs w:val="24"/>
        </w:rPr>
        <w:t>CDBG experience, including other DCA grant programs</w:t>
      </w:r>
    </w:p>
    <w:p w:rsidR="003255CF" w:rsidRDefault="003255CF" w:rsidP="003255CF">
      <w:pPr>
        <w:numPr>
          <w:ilvl w:val="0"/>
          <w:numId w:val="1"/>
        </w:numPr>
        <w:jc w:val="both"/>
        <w:rPr>
          <w:rFonts w:ascii="Arial" w:hAnsi="Arial" w:cs="Arial"/>
          <w:b/>
          <w:bCs/>
          <w:color w:val="000000"/>
          <w:sz w:val="24"/>
          <w:szCs w:val="24"/>
        </w:rPr>
      </w:pPr>
      <w:r>
        <w:rPr>
          <w:rFonts w:ascii="Arial" w:hAnsi="Arial" w:cs="Arial"/>
          <w:b/>
          <w:bCs/>
          <w:sz w:val="24"/>
          <w:szCs w:val="24"/>
        </w:rPr>
        <w:t>Capacity to complete scope of work</w:t>
      </w:r>
      <w:r>
        <w:rPr>
          <w:rFonts w:ascii="Arial" w:hAnsi="Arial" w:cs="Arial"/>
          <w:b/>
          <w:bCs/>
          <w:color w:val="000000"/>
          <w:sz w:val="24"/>
          <w:szCs w:val="24"/>
        </w:rPr>
        <w:t xml:space="preserve"> </w:t>
      </w:r>
    </w:p>
    <w:p w:rsidR="003255CF" w:rsidRDefault="003255CF" w:rsidP="003255CF">
      <w:pPr>
        <w:numPr>
          <w:ilvl w:val="0"/>
          <w:numId w:val="1"/>
        </w:numPr>
        <w:jc w:val="both"/>
        <w:rPr>
          <w:rFonts w:ascii="Arial" w:hAnsi="Arial" w:cs="Arial"/>
          <w:b/>
          <w:bCs/>
          <w:color w:val="000000"/>
          <w:sz w:val="24"/>
          <w:szCs w:val="24"/>
        </w:rPr>
      </w:pPr>
      <w:r>
        <w:rPr>
          <w:rFonts w:ascii="Arial" w:hAnsi="Arial" w:cs="Arial"/>
          <w:b/>
          <w:bCs/>
          <w:color w:val="000000"/>
          <w:sz w:val="24"/>
          <w:szCs w:val="24"/>
        </w:rPr>
        <w:t>Current workload</w:t>
      </w:r>
    </w:p>
    <w:p w:rsidR="003255CF" w:rsidRDefault="003255CF" w:rsidP="003255CF">
      <w:pPr>
        <w:numPr>
          <w:ilvl w:val="0"/>
          <w:numId w:val="1"/>
        </w:numPr>
        <w:jc w:val="both"/>
        <w:rPr>
          <w:rFonts w:ascii="Arial" w:hAnsi="Arial" w:cs="Arial"/>
          <w:b/>
          <w:bCs/>
          <w:color w:val="000000"/>
          <w:sz w:val="24"/>
          <w:szCs w:val="24"/>
        </w:rPr>
      </w:pPr>
      <w:r>
        <w:rPr>
          <w:rFonts w:ascii="Arial" w:hAnsi="Arial" w:cs="Arial"/>
          <w:b/>
          <w:bCs/>
          <w:color w:val="000000"/>
          <w:sz w:val="24"/>
          <w:szCs w:val="24"/>
        </w:rPr>
        <w:t>Scope and level of service proposed</w:t>
      </w:r>
    </w:p>
    <w:p w:rsidR="003255CF" w:rsidRDefault="003255CF" w:rsidP="003255CF">
      <w:pPr>
        <w:numPr>
          <w:ilvl w:val="0"/>
          <w:numId w:val="1"/>
        </w:numPr>
        <w:jc w:val="both"/>
        <w:rPr>
          <w:rFonts w:ascii="Arial" w:hAnsi="Arial" w:cs="Arial"/>
          <w:b/>
          <w:bCs/>
          <w:color w:val="000000"/>
          <w:sz w:val="24"/>
          <w:szCs w:val="24"/>
        </w:rPr>
      </w:pPr>
      <w:r>
        <w:rPr>
          <w:rFonts w:ascii="Arial" w:hAnsi="Arial" w:cs="Arial"/>
          <w:b/>
          <w:bCs/>
          <w:color w:val="000000"/>
          <w:sz w:val="24"/>
          <w:szCs w:val="24"/>
        </w:rPr>
        <w:t xml:space="preserve">Experience with similar projects and list of references </w:t>
      </w:r>
    </w:p>
    <w:p w:rsidR="003255CF" w:rsidRDefault="003255CF" w:rsidP="003255CF">
      <w:pPr>
        <w:numPr>
          <w:ilvl w:val="0"/>
          <w:numId w:val="1"/>
        </w:numPr>
        <w:jc w:val="both"/>
        <w:rPr>
          <w:rFonts w:ascii="Arial" w:hAnsi="Arial" w:cs="Arial"/>
          <w:b/>
          <w:bCs/>
          <w:color w:val="000000"/>
          <w:sz w:val="24"/>
          <w:szCs w:val="24"/>
        </w:rPr>
      </w:pPr>
      <w:r>
        <w:rPr>
          <w:rFonts w:ascii="Arial" w:hAnsi="Arial" w:cs="Arial"/>
          <w:b/>
          <w:bCs/>
          <w:color w:val="000000"/>
          <w:sz w:val="24"/>
          <w:szCs w:val="24"/>
        </w:rPr>
        <w:t xml:space="preserve">Fees associated with grant writing, and grant administration, if the project is funded. </w:t>
      </w:r>
    </w:p>
    <w:p w:rsidR="003255CF" w:rsidRDefault="003255CF" w:rsidP="003255CF">
      <w:pPr>
        <w:numPr>
          <w:ilvl w:val="0"/>
          <w:numId w:val="1"/>
        </w:numPr>
        <w:jc w:val="both"/>
        <w:rPr>
          <w:rFonts w:ascii="Arial" w:hAnsi="Arial" w:cs="Arial"/>
          <w:b/>
          <w:bCs/>
          <w:color w:val="000000"/>
          <w:sz w:val="24"/>
          <w:szCs w:val="24"/>
        </w:rPr>
      </w:pPr>
      <w:r>
        <w:rPr>
          <w:rFonts w:ascii="Arial" w:hAnsi="Arial" w:cs="Arial"/>
          <w:b/>
          <w:bCs/>
          <w:color w:val="000000"/>
          <w:sz w:val="24"/>
          <w:szCs w:val="24"/>
        </w:rPr>
        <w:t>Statement of Qualifications Form, see attached.</w:t>
      </w:r>
    </w:p>
    <w:p w:rsidR="003255CF" w:rsidRDefault="003255CF" w:rsidP="003255CF">
      <w:pPr>
        <w:numPr>
          <w:ilvl w:val="0"/>
          <w:numId w:val="1"/>
        </w:numPr>
        <w:jc w:val="both"/>
        <w:rPr>
          <w:rFonts w:ascii="Arial" w:hAnsi="Arial" w:cs="Arial"/>
          <w:b/>
          <w:bCs/>
          <w:color w:val="000000"/>
          <w:sz w:val="24"/>
          <w:szCs w:val="24"/>
        </w:rPr>
      </w:pPr>
      <w:r>
        <w:rPr>
          <w:rFonts w:ascii="Arial" w:hAnsi="Arial" w:cs="Arial"/>
          <w:b/>
          <w:bCs/>
          <w:i/>
          <w:iCs/>
          <w:color w:val="000000"/>
          <w:sz w:val="24"/>
          <w:szCs w:val="24"/>
        </w:rPr>
        <w:t> </w:t>
      </w:r>
      <w:r>
        <w:rPr>
          <w:rFonts w:ascii="Arial" w:hAnsi="Arial" w:cs="Arial"/>
          <w:b/>
          <w:bCs/>
          <w:sz w:val="24"/>
          <w:szCs w:val="24"/>
        </w:rPr>
        <w:t>Applicable Section 3 Certification forms, if claiming Section 3 Status</w:t>
      </w:r>
    </w:p>
    <w:p w:rsidR="003255CF" w:rsidRDefault="003255CF" w:rsidP="003255CF">
      <w:pPr>
        <w:ind w:left="360"/>
        <w:jc w:val="both"/>
        <w:rPr>
          <w:rFonts w:ascii="Arial" w:hAnsi="Arial" w:cs="Arial"/>
          <w:b/>
          <w:bCs/>
          <w:color w:val="000000"/>
          <w:sz w:val="24"/>
          <w:szCs w:val="24"/>
        </w:rPr>
      </w:pPr>
    </w:p>
    <w:p w:rsidR="003255CF" w:rsidRDefault="003255CF" w:rsidP="003255CF">
      <w:pPr>
        <w:jc w:val="both"/>
        <w:rPr>
          <w:rFonts w:ascii="Arial" w:hAnsi="Arial" w:cs="Arial"/>
          <w:color w:val="000000"/>
          <w:sz w:val="24"/>
          <w:szCs w:val="24"/>
        </w:rPr>
      </w:pPr>
      <w:r>
        <w:rPr>
          <w:rFonts w:ascii="Arial" w:hAnsi="Arial" w:cs="Arial"/>
          <w:color w:val="000000"/>
          <w:sz w:val="24"/>
          <w:szCs w:val="24"/>
        </w:rPr>
        <w:t>All contracts are subject to Federal and State contract provisions prescribed by the Georgia Department of Community Affairs. This project is covered under the requirements of Section 3 of the HUD Act of 1968, as amended and Section 3 Business Concerns are encouraged to apply.</w:t>
      </w:r>
    </w:p>
    <w:p w:rsidR="003255CF" w:rsidRDefault="003255CF" w:rsidP="003255CF">
      <w:pPr>
        <w:jc w:val="both"/>
        <w:rPr>
          <w:rFonts w:ascii="Arial" w:hAnsi="Arial" w:cs="Arial"/>
          <w:i/>
          <w:iCs/>
          <w:color w:val="000000"/>
          <w:sz w:val="24"/>
          <w:szCs w:val="24"/>
        </w:rPr>
      </w:pPr>
      <w:r>
        <w:rPr>
          <w:rFonts w:ascii="Arial" w:hAnsi="Arial" w:cs="Arial"/>
          <w:i/>
          <w:iCs/>
          <w:color w:val="000000"/>
          <w:sz w:val="24"/>
          <w:szCs w:val="24"/>
        </w:rPr>
        <w:t xml:space="preserve">The City of LaGrange also abides by the following laws as they pertain to HUD Assisted Projects: Title VI of the Civil Rights Act of 1964; Section 109 of the Housing and Community Development Act of 1974, Title 1; Title VII of the Civil Rights Act of 1968 (Fair Housing Act); Section 104(b)(2) of the Housing </w:t>
      </w:r>
      <w:r>
        <w:rPr>
          <w:rFonts w:ascii="Arial" w:hAnsi="Arial" w:cs="Arial"/>
          <w:i/>
          <w:iCs/>
          <w:color w:val="000000"/>
          <w:sz w:val="24"/>
          <w:szCs w:val="24"/>
        </w:rPr>
        <w:lastRenderedPageBreak/>
        <w:t xml:space="preserve">and Community Development Act of 1974; Section 504 of the Rehabilitation Act of 1973 as amended; Title II of the Americans with Disabilities Act of 1990 (ADA); and  the Architectural Barriers Act of 1968. </w:t>
      </w:r>
    </w:p>
    <w:p w:rsidR="003255CF" w:rsidRDefault="003255CF" w:rsidP="003255CF">
      <w:pPr>
        <w:jc w:val="both"/>
        <w:rPr>
          <w:rFonts w:ascii="Arial" w:hAnsi="Arial" w:cs="Arial"/>
          <w:color w:val="000000"/>
          <w:sz w:val="24"/>
          <w:szCs w:val="24"/>
        </w:rPr>
      </w:pPr>
      <w:r>
        <w:rPr>
          <w:rFonts w:ascii="Arial" w:hAnsi="Arial" w:cs="Arial"/>
          <w:color w:val="000000"/>
          <w:sz w:val="24"/>
          <w:szCs w:val="24"/>
        </w:rPr>
        <w:t xml:space="preserve">Proposals should be received no later than </w:t>
      </w:r>
      <w:r>
        <w:rPr>
          <w:rFonts w:ascii="Arial" w:hAnsi="Arial" w:cs="Arial"/>
          <w:b/>
          <w:bCs/>
          <w:color w:val="000000"/>
          <w:sz w:val="24"/>
          <w:szCs w:val="24"/>
        </w:rPr>
        <w:t>5:00 PM on August 5, 2019</w:t>
      </w:r>
      <w:r>
        <w:rPr>
          <w:rFonts w:ascii="Arial" w:hAnsi="Arial" w:cs="Arial"/>
          <w:color w:val="000000"/>
          <w:sz w:val="24"/>
          <w:szCs w:val="24"/>
        </w:rPr>
        <w:t>.  Proposals received after the above date and time will not be considered.  The City of LaGrange reserves the right to accept or reject any and all proposals and to waive informalities in the proposal process.  Questions and Completed Proposals should be submitted to the name and address listed below:</w:t>
      </w:r>
    </w:p>
    <w:p w:rsidR="003255CF" w:rsidRDefault="003255CF" w:rsidP="003255CF">
      <w:pPr>
        <w:jc w:val="both"/>
        <w:rPr>
          <w:rFonts w:ascii="Arial" w:hAnsi="Arial" w:cs="Arial"/>
          <w:color w:val="000000"/>
          <w:sz w:val="24"/>
          <w:szCs w:val="24"/>
        </w:rPr>
      </w:pPr>
    </w:p>
    <w:p w:rsidR="003255CF" w:rsidRDefault="003255CF" w:rsidP="003255CF">
      <w:pPr>
        <w:jc w:val="both"/>
        <w:rPr>
          <w:rFonts w:ascii="Arial" w:hAnsi="Arial" w:cs="Arial"/>
          <w:b/>
          <w:bCs/>
          <w:color w:val="000000"/>
          <w:sz w:val="24"/>
          <w:szCs w:val="24"/>
        </w:rPr>
      </w:pPr>
      <w:r>
        <w:rPr>
          <w:rFonts w:ascii="Arial" w:hAnsi="Arial" w:cs="Arial"/>
          <w:b/>
          <w:bCs/>
          <w:color w:val="000000"/>
          <w:sz w:val="24"/>
          <w:szCs w:val="24"/>
        </w:rPr>
        <w:t xml:space="preserve">CITY of LaGrange CONTACT:  Alton L. West </w:t>
      </w:r>
    </w:p>
    <w:p w:rsidR="003255CF" w:rsidRDefault="003255CF" w:rsidP="003255CF">
      <w:pPr>
        <w:jc w:val="both"/>
        <w:rPr>
          <w:rFonts w:ascii="Arial" w:hAnsi="Arial" w:cs="Arial"/>
          <w:b/>
          <w:bCs/>
          <w:color w:val="000000"/>
          <w:sz w:val="24"/>
          <w:szCs w:val="24"/>
        </w:rPr>
      </w:pPr>
      <w:r>
        <w:rPr>
          <w:rFonts w:ascii="Arial" w:hAnsi="Arial" w:cs="Arial"/>
          <w:b/>
          <w:bCs/>
          <w:color w:val="000000"/>
          <w:sz w:val="24"/>
          <w:szCs w:val="24"/>
        </w:rPr>
        <w:t xml:space="preserve">ADDRESS: 200 Ridley Ave. LaGrange, GA 30240     </w:t>
      </w:r>
    </w:p>
    <w:p w:rsidR="003255CF" w:rsidRDefault="003255CF" w:rsidP="003255CF">
      <w:pPr>
        <w:jc w:val="both"/>
        <w:rPr>
          <w:rFonts w:ascii="Arial" w:hAnsi="Arial" w:cs="Arial"/>
          <w:b/>
          <w:bCs/>
          <w:color w:val="000000"/>
          <w:sz w:val="24"/>
          <w:szCs w:val="24"/>
        </w:rPr>
      </w:pPr>
      <w:r>
        <w:rPr>
          <w:rFonts w:ascii="Arial" w:hAnsi="Arial" w:cs="Arial"/>
          <w:b/>
          <w:bCs/>
          <w:color w:val="000000"/>
          <w:sz w:val="24"/>
          <w:szCs w:val="24"/>
        </w:rPr>
        <w:t>Phone: 706-883-2021</w:t>
      </w:r>
    </w:p>
    <w:p w:rsidR="003255CF" w:rsidRDefault="003255CF" w:rsidP="003255CF">
      <w:pPr>
        <w:jc w:val="both"/>
        <w:rPr>
          <w:rFonts w:ascii="Arial" w:hAnsi="Arial" w:cs="Arial"/>
          <w:b/>
          <w:bCs/>
          <w:color w:val="000000"/>
          <w:sz w:val="24"/>
          <w:szCs w:val="24"/>
        </w:rPr>
      </w:pPr>
      <w:r>
        <w:rPr>
          <w:rFonts w:ascii="Arial" w:hAnsi="Arial" w:cs="Arial"/>
          <w:b/>
          <w:bCs/>
          <w:color w:val="000000"/>
          <w:sz w:val="24"/>
          <w:szCs w:val="24"/>
        </w:rPr>
        <w:t xml:space="preserve">Email: </w:t>
      </w:r>
      <w:hyperlink r:id="rId5" w:history="1">
        <w:r>
          <w:rPr>
            <w:rStyle w:val="Hyperlink"/>
            <w:rFonts w:ascii="Arial" w:hAnsi="Arial" w:cs="Arial"/>
            <w:b/>
            <w:bCs/>
            <w:sz w:val="24"/>
            <w:szCs w:val="24"/>
          </w:rPr>
          <w:t>awest@lagrangega.org</w:t>
        </w:r>
      </w:hyperlink>
      <w:r>
        <w:rPr>
          <w:rFonts w:ascii="Arial" w:hAnsi="Arial" w:cs="Arial"/>
          <w:b/>
          <w:bCs/>
          <w:color w:val="000000"/>
          <w:sz w:val="24"/>
          <w:szCs w:val="24"/>
        </w:rPr>
        <w:t xml:space="preserve">  </w:t>
      </w:r>
    </w:p>
    <w:p w:rsidR="003255CF" w:rsidRDefault="003255CF" w:rsidP="003255CF">
      <w:pPr>
        <w:jc w:val="both"/>
        <w:rPr>
          <w:b/>
          <w:bCs/>
          <w:color w:val="000000"/>
          <w:sz w:val="24"/>
          <w:szCs w:val="24"/>
        </w:rPr>
      </w:pPr>
      <w:r>
        <w:rPr>
          <w:noProof/>
        </w:rPr>
        <w:drawing>
          <wp:anchor distT="0" distB="0" distL="114300" distR="114300" simplePos="0" relativeHeight="251658240" behindDoc="0" locked="0" layoutInCell="1" allowOverlap="1">
            <wp:simplePos x="0" y="0"/>
            <wp:positionH relativeFrom="column">
              <wp:posOffset>3175</wp:posOffset>
            </wp:positionH>
            <wp:positionV relativeFrom="paragraph">
              <wp:posOffset>86360</wp:posOffset>
            </wp:positionV>
            <wp:extent cx="1047750" cy="52387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47750" cy="523875"/>
                    </a:xfrm>
                    <a:prstGeom prst="rect">
                      <a:avLst/>
                    </a:prstGeom>
                    <a:noFill/>
                  </pic:spPr>
                </pic:pic>
              </a:graphicData>
            </a:graphic>
          </wp:anchor>
        </w:drawing>
      </w:r>
    </w:p>
    <w:p w:rsidR="003255CF" w:rsidRDefault="003255CF" w:rsidP="003255CF">
      <w:pPr>
        <w:rPr>
          <w:sz w:val="24"/>
          <w:szCs w:val="24"/>
        </w:rPr>
      </w:pPr>
    </w:p>
    <w:p w:rsidR="003255CF" w:rsidRDefault="003255CF" w:rsidP="003255CF">
      <w:r>
        <w:t>*****************************************************************************</w:t>
      </w:r>
    </w:p>
    <w:p w:rsidR="003255CF" w:rsidRDefault="003255CF" w:rsidP="003255CF">
      <w:pPr>
        <w:rPr>
          <w:rFonts w:ascii="Helvetica" w:hAnsi="Helvetica" w:cs="Helvetica"/>
          <w:color w:val="595959"/>
        </w:rPr>
      </w:pPr>
      <w:r>
        <w:rPr>
          <w:rFonts w:ascii="Helvetica" w:hAnsi="Helvetica" w:cs="Helvetica"/>
          <w:noProof/>
          <w:color w:val="595959"/>
        </w:rPr>
        <w:drawing>
          <wp:inline distT="0" distB="0" distL="0" distR="0">
            <wp:extent cx="1661160" cy="617220"/>
            <wp:effectExtent l="19050" t="0" r="0" b="0"/>
            <wp:docPr id="1" name="Picture 1" descr="cid:image003.jpg@01D21E3F.47DEE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1E3F.47DEEA90"/>
                    <pic:cNvPicPr>
                      <a:picLocks noChangeAspect="1" noChangeArrowheads="1"/>
                    </pic:cNvPicPr>
                  </pic:nvPicPr>
                  <pic:blipFill>
                    <a:blip r:embed="rId7" r:link="rId8" cstate="print"/>
                    <a:srcRect/>
                    <a:stretch>
                      <a:fillRect/>
                    </a:stretch>
                  </pic:blipFill>
                  <pic:spPr bwMode="auto">
                    <a:xfrm>
                      <a:off x="0" y="0"/>
                      <a:ext cx="1661160" cy="617220"/>
                    </a:xfrm>
                    <a:prstGeom prst="rect">
                      <a:avLst/>
                    </a:prstGeom>
                    <a:noFill/>
                    <a:ln w="9525">
                      <a:noFill/>
                      <a:miter lim="800000"/>
                      <a:headEnd/>
                      <a:tailEnd/>
                    </a:ln>
                  </pic:spPr>
                </pic:pic>
              </a:graphicData>
            </a:graphic>
          </wp:inline>
        </w:drawing>
      </w:r>
    </w:p>
    <w:p w:rsidR="003255CF" w:rsidRDefault="003255CF" w:rsidP="003255CF">
      <w:pPr>
        <w:rPr>
          <w:rFonts w:ascii="Helvetica" w:hAnsi="Helvetica" w:cs="Helvetica"/>
          <w:b/>
          <w:bCs/>
          <w:color w:val="595959"/>
          <w:sz w:val="24"/>
          <w:szCs w:val="24"/>
        </w:rPr>
      </w:pPr>
      <w:r>
        <w:rPr>
          <w:rFonts w:ascii="Helvetica" w:hAnsi="Helvetica" w:cs="Helvetica"/>
          <w:b/>
          <w:bCs/>
          <w:color w:val="595959"/>
          <w:sz w:val="24"/>
          <w:szCs w:val="24"/>
        </w:rPr>
        <w:t>Alton L. West</w:t>
      </w:r>
    </w:p>
    <w:p w:rsidR="003255CF" w:rsidRDefault="003255CF" w:rsidP="003255CF">
      <w:pPr>
        <w:rPr>
          <w:rFonts w:ascii="Helvetica" w:hAnsi="Helvetica" w:cs="Helvetica"/>
          <w:color w:val="000000"/>
          <w:sz w:val="18"/>
          <w:szCs w:val="18"/>
        </w:rPr>
      </w:pPr>
      <w:r>
        <w:rPr>
          <w:rFonts w:ascii="Helvetica" w:hAnsi="Helvetica" w:cs="Helvetica"/>
          <w:color w:val="000000"/>
          <w:sz w:val="18"/>
          <w:szCs w:val="18"/>
        </w:rPr>
        <w:t>Community Development Director</w:t>
      </w:r>
    </w:p>
    <w:p w:rsidR="003255CF" w:rsidRDefault="003255CF" w:rsidP="003255CF">
      <w:pPr>
        <w:rPr>
          <w:rFonts w:ascii="Helvetica" w:hAnsi="Helvetica" w:cs="Helvetica"/>
          <w:color w:val="595959"/>
          <w:sz w:val="4"/>
          <w:szCs w:val="4"/>
        </w:rPr>
      </w:pPr>
    </w:p>
    <w:p w:rsidR="003255CF" w:rsidRDefault="003255CF" w:rsidP="003255CF">
      <w:pPr>
        <w:rPr>
          <w:rFonts w:ascii="Helvetica" w:hAnsi="Helvetica" w:cs="Helvetica"/>
          <w:b/>
          <w:bCs/>
          <w:color w:val="595959"/>
        </w:rPr>
      </w:pPr>
      <w:r>
        <w:rPr>
          <w:rFonts w:ascii="Helvetica" w:hAnsi="Helvetica" w:cs="Helvetica"/>
          <w:b/>
          <w:bCs/>
          <w:color w:val="595959"/>
        </w:rPr>
        <w:t>CITY OF LAGRANGE</w:t>
      </w:r>
    </w:p>
    <w:p w:rsidR="003255CF" w:rsidRDefault="003255CF" w:rsidP="003255CF">
      <w:pPr>
        <w:rPr>
          <w:rFonts w:ascii="Helvetica" w:hAnsi="Helvetica" w:cs="Helvetica"/>
          <w:color w:val="0D0D0D"/>
          <w:sz w:val="18"/>
          <w:szCs w:val="18"/>
        </w:rPr>
      </w:pPr>
      <w:r>
        <w:rPr>
          <w:rFonts w:ascii="Helvetica" w:hAnsi="Helvetica" w:cs="Helvetica"/>
          <w:color w:val="0D0D0D"/>
          <w:sz w:val="18"/>
          <w:szCs w:val="18"/>
        </w:rPr>
        <w:t>200 Ridley Avenue Lagrange GA 30240</w:t>
      </w:r>
    </w:p>
    <w:p w:rsidR="003255CF" w:rsidRDefault="003255CF" w:rsidP="003255CF">
      <w:pPr>
        <w:rPr>
          <w:rFonts w:ascii="Helvetica" w:hAnsi="Helvetica" w:cs="Helvetica"/>
          <w:color w:val="0D0D0D"/>
          <w:sz w:val="18"/>
          <w:szCs w:val="18"/>
        </w:rPr>
      </w:pPr>
      <w:r>
        <w:rPr>
          <w:rFonts w:ascii="Helvetica" w:hAnsi="Helvetica" w:cs="Helvetica"/>
          <w:color w:val="0D0D0D"/>
          <w:sz w:val="18"/>
          <w:szCs w:val="18"/>
        </w:rPr>
        <w:t>P: (706) 883-2021 |F: (706) 883-2020</w:t>
      </w:r>
    </w:p>
    <w:p w:rsidR="003255CF" w:rsidRDefault="00EC3C91" w:rsidP="003255CF">
      <w:pPr>
        <w:rPr>
          <w:rFonts w:ascii="Helvetica" w:hAnsi="Helvetica" w:cs="Helvetica"/>
          <w:color w:val="0D0D0D"/>
          <w:sz w:val="18"/>
          <w:szCs w:val="18"/>
        </w:rPr>
      </w:pPr>
      <w:hyperlink r:id="rId9" w:history="1">
        <w:r w:rsidR="003255CF">
          <w:rPr>
            <w:rStyle w:val="Hyperlink"/>
            <w:rFonts w:ascii="Helvetica" w:hAnsi="Helvetica" w:cs="Helvetica"/>
            <w:sz w:val="18"/>
            <w:szCs w:val="18"/>
          </w:rPr>
          <w:t>awest@lagrangega.org</w:t>
        </w:r>
      </w:hyperlink>
    </w:p>
    <w:p w:rsidR="003255CF" w:rsidRDefault="003255CF" w:rsidP="003255CF"/>
    <w:p w:rsidR="00A23747" w:rsidRDefault="00EC3C91"/>
    <w:sectPr w:rsidR="00A23747" w:rsidSect="006F6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575897"/>
    <w:multiLevelType w:val="hybridMultilevel"/>
    <w:tmpl w:val="C20268D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5CF"/>
    <w:rsid w:val="000A00CF"/>
    <w:rsid w:val="002F2448"/>
    <w:rsid w:val="00320979"/>
    <w:rsid w:val="003255CF"/>
    <w:rsid w:val="006F6BB0"/>
    <w:rsid w:val="00EC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4E2B4-A5F5-4F35-B1C3-7E069ACB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5C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55CF"/>
    <w:rPr>
      <w:color w:val="0000FF"/>
      <w:u w:val="single"/>
    </w:rPr>
  </w:style>
  <w:style w:type="paragraph" w:styleId="BalloonText">
    <w:name w:val="Balloon Text"/>
    <w:basedOn w:val="Normal"/>
    <w:link w:val="BalloonTextChar"/>
    <w:uiPriority w:val="99"/>
    <w:semiHidden/>
    <w:unhideWhenUsed/>
    <w:rsid w:val="003255CF"/>
    <w:rPr>
      <w:rFonts w:ascii="Tahoma" w:hAnsi="Tahoma" w:cs="Tahoma"/>
      <w:sz w:val="16"/>
      <w:szCs w:val="16"/>
    </w:rPr>
  </w:style>
  <w:style w:type="character" w:customStyle="1" w:styleId="BalloonTextChar">
    <w:name w:val="Balloon Text Char"/>
    <w:basedOn w:val="DefaultParagraphFont"/>
    <w:link w:val="BalloonText"/>
    <w:uiPriority w:val="99"/>
    <w:semiHidden/>
    <w:rsid w:val="003255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8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53195.B0AE03A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awest@lagrangega.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west@lagrangeg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awest</dc:creator>
  <cp:lastModifiedBy>Jeremy M. Andrews</cp:lastModifiedBy>
  <cp:revision>2</cp:revision>
  <dcterms:created xsi:type="dcterms:W3CDTF">2019-07-03T17:20:00Z</dcterms:created>
  <dcterms:modified xsi:type="dcterms:W3CDTF">2019-07-03T17:20:00Z</dcterms:modified>
</cp:coreProperties>
</file>