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DB" w:rsidRPr="00C40261" w:rsidRDefault="007629DB" w:rsidP="007629DB">
      <w:pPr>
        <w:jc w:val="center"/>
        <w:rPr>
          <w:rFonts w:cs="Arial"/>
          <w:b/>
          <w:sz w:val="36"/>
          <w:szCs w:val="36"/>
        </w:rPr>
      </w:pPr>
      <w:bookmarkStart w:id="0" w:name="_GoBack"/>
      <w:bookmarkEnd w:id="0"/>
      <w:r w:rsidRPr="00C40261">
        <w:rPr>
          <w:rFonts w:cs="Arial"/>
          <w:b/>
          <w:sz w:val="36"/>
          <w:szCs w:val="36"/>
        </w:rPr>
        <w:t>IRAN DIVESTMENT ACT</w:t>
      </w:r>
    </w:p>
    <w:p w:rsidR="007629DB" w:rsidRPr="00C40261" w:rsidRDefault="007629DB" w:rsidP="007629DB">
      <w:pPr>
        <w:jc w:val="center"/>
        <w:rPr>
          <w:rFonts w:cs="Arial"/>
        </w:rPr>
      </w:pPr>
    </w:p>
    <w:p w:rsidR="007629DB" w:rsidRPr="00C40261" w:rsidRDefault="007629DB" w:rsidP="007629DB">
      <w:pPr>
        <w:jc w:val="both"/>
        <w:rPr>
          <w:rFonts w:cs="Arial"/>
        </w:rPr>
      </w:pPr>
      <w:r w:rsidRPr="00C40261">
        <w:rPr>
          <w:rFonts w:cs="Arial"/>
        </w:rPr>
        <w:t>In compliance with the Iran Divestment Act (State of Tennessee 2016, Public Chapter No. 817), which became effective on July 1, 2016, certification is required of all bidders on contracts over $1,000.</w:t>
      </w:r>
    </w:p>
    <w:p w:rsidR="007629DB" w:rsidRPr="00C40261" w:rsidRDefault="007629DB" w:rsidP="007629DB">
      <w:pPr>
        <w:jc w:val="both"/>
        <w:rPr>
          <w:rFonts w:cs="Arial"/>
        </w:rPr>
      </w:pPr>
    </w:p>
    <w:p w:rsidR="007629DB" w:rsidRPr="00C40261" w:rsidRDefault="007629DB" w:rsidP="007629DB">
      <w:pPr>
        <w:jc w:val="both"/>
        <w:rPr>
          <w:rFonts w:cs="Arial"/>
          <w:i/>
        </w:rPr>
      </w:pPr>
      <w:r w:rsidRPr="00C40261">
        <w:rPr>
          <w:rFonts w:cs="Arial"/>
          <w:i/>
        </w:rPr>
        <w:t>By submission of this bid, each bidder and each person signing on behalf of any bidder certifies, and in the case of a joint bid each party hereto certifies as to its own organization, under penalty of perjury, that to the best of its knowledge and belief that each bidder is not on the list created pursuant to T.C.A.</w:t>
      </w:r>
      <w:r w:rsidRPr="00C40261">
        <w:rPr>
          <w:rFonts w:cs="Arial"/>
        </w:rPr>
        <w:t xml:space="preserve"> </w:t>
      </w:r>
      <w:r w:rsidRPr="00C40261">
        <w:rPr>
          <w:rFonts w:cs="Arial"/>
          <w:i/>
        </w:rPr>
        <w:t>§ 12-12-106.</w:t>
      </w:r>
    </w:p>
    <w:p w:rsidR="007629DB" w:rsidRPr="00C40261" w:rsidRDefault="007629DB" w:rsidP="007629DB">
      <w:pPr>
        <w:jc w:val="both"/>
        <w:rPr>
          <w:rFonts w:cs="Arial"/>
          <w:i/>
        </w:rPr>
      </w:pPr>
    </w:p>
    <w:p w:rsidR="007629DB" w:rsidRPr="00C40261" w:rsidRDefault="007629DB" w:rsidP="007629DB">
      <w:pPr>
        <w:jc w:val="both"/>
        <w:rPr>
          <w:rFonts w:cs="Arial"/>
          <w:i/>
        </w:rPr>
      </w:pPr>
      <w:r w:rsidRPr="00C40261">
        <w:rPr>
          <w:rFonts w:cs="Arial"/>
          <w:i/>
        </w:rPr>
        <w:t>I affirm, under the penalties of perjury, this statement to be true and correct.</w:t>
      </w:r>
    </w:p>
    <w:p w:rsidR="007629DB" w:rsidRPr="00C40261" w:rsidRDefault="007629DB" w:rsidP="007629DB">
      <w:pPr>
        <w:jc w:val="both"/>
        <w:rPr>
          <w:rFonts w:cs="Arial"/>
          <w:i/>
        </w:rPr>
      </w:pPr>
    </w:p>
    <w:tbl>
      <w:tblPr>
        <w:tblW w:w="0" w:type="auto"/>
        <w:tblBorders>
          <w:insideH w:val="single" w:sz="4" w:space="0" w:color="auto"/>
        </w:tblBorders>
        <w:tblLook w:val="04A0" w:firstRow="1" w:lastRow="0" w:firstColumn="1" w:lastColumn="0" w:noHBand="0" w:noVBand="1"/>
      </w:tblPr>
      <w:tblGrid>
        <w:gridCol w:w="3119"/>
        <w:gridCol w:w="1994"/>
        <w:gridCol w:w="4247"/>
      </w:tblGrid>
      <w:tr w:rsidR="007629DB" w:rsidRPr="00C40261" w:rsidTr="00E86028">
        <w:tc>
          <w:tcPr>
            <w:tcW w:w="3192" w:type="dxa"/>
            <w:shd w:val="clear" w:color="auto" w:fill="auto"/>
          </w:tcPr>
          <w:p w:rsidR="007629DB" w:rsidRPr="00C40261" w:rsidRDefault="007629DB" w:rsidP="00E86028">
            <w:pPr>
              <w:jc w:val="both"/>
              <w:rPr>
                <w:rFonts w:eastAsia="Calibri" w:cs="Arial"/>
                <w:i/>
                <w:sz w:val="22"/>
                <w:szCs w:val="22"/>
              </w:rPr>
            </w:pPr>
          </w:p>
        </w:tc>
        <w:tc>
          <w:tcPr>
            <w:tcW w:w="2046" w:type="dxa"/>
            <w:tcBorders>
              <w:top w:val="nil"/>
              <w:bottom w:val="nil"/>
            </w:tcBorders>
            <w:shd w:val="clear" w:color="auto" w:fill="auto"/>
          </w:tcPr>
          <w:p w:rsidR="007629DB" w:rsidRPr="00C40261" w:rsidRDefault="007629DB" w:rsidP="00E86028">
            <w:pPr>
              <w:jc w:val="both"/>
              <w:rPr>
                <w:rFonts w:eastAsia="Calibri" w:cs="Arial"/>
                <w:i/>
                <w:sz w:val="22"/>
                <w:szCs w:val="22"/>
              </w:rPr>
            </w:pPr>
          </w:p>
        </w:tc>
        <w:tc>
          <w:tcPr>
            <w:tcW w:w="4338" w:type="dxa"/>
            <w:shd w:val="clear" w:color="auto" w:fill="auto"/>
          </w:tcPr>
          <w:p w:rsidR="007629DB" w:rsidRPr="00C40261" w:rsidRDefault="007629DB" w:rsidP="00E86028">
            <w:pPr>
              <w:jc w:val="both"/>
              <w:rPr>
                <w:rFonts w:eastAsia="Calibri" w:cs="Arial"/>
                <w:i/>
                <w:sz w:val="22"/>
                <w:szCs w:val="22"/>
              </w:rPr>
            </w:pPr>
          </w:p>
        </w:tc>
      </w:tr>
      <w:tr w:rsidR="007629DB" w:rsidRPr="00C40261" w:rsidTr="00E86028">
        <w:trPr>
          <w:trHeight w:val="800"/>
        </w:trPr>
        <w:tc>
          <w:tcPr>
            <w:tcW w:w="3192" w:type="dxa"/>
            <w:shd w:val="clear" w:color="auto" w:fill="auto"/>
          </w:tcPr>
          <w:p w:rsidR="007629DB" w:rsidRPr="00C40261" w:rsidRDefault="007629DB" w:rsidP="00E86028">
            <w:pPr>
              <w:jc w:val="center"/>
              <w:rPr>
                <w:rFonts w:eastAsia="Calibri" w:cs="Arial"/>
                <w:sz w:val="22"/>
                <w:szCs w:val="22"/>
              </w:rPr>
            </w:pPr>
            <w:r w:rsidRPr="00C40261">
              <w:rPr>
                <w:rFonts w:eastAsia="Calibri" w:cs="Arial"/>
                <w:sz w:val="22"/>
                <w:szCs w:val="22"/>
              </w:rPr>
              <w:t>Date</w:t>
            </w:r>
          </w:p>
        </w:tc>
        <w:tc>
          <w:tcPr>
            <w:tcW w:w="2046" w:type="dxa"/>
            <w:tcBorders>
              <w:top w:val="nil"/>
              <w:bottom w:val="nil"/>
            </w:tcBorders>
            <w:shd w:val="clear" w:color="auto" w:fill="auto"/>
          </w:tcPr>
          <w:p w:rsidR="007629DB" w:rsidRPr="00C40261" w:rsidRDefault="007629DB" w:rsidP="00E86028">
            <w:pPr>
              <w:jc w:val="center"/>
              <w:rPr>
                <w:rFonts w:eastAsia="Calibri" w:cs="Arial"/>
                <w:sz w:val="22"/>
                <w:szCs w:val="22"/>
              </w:rPr>
            </w:pPr>
          </w:p>
        </w:tc>
        <w:tc>
          <w:tcPr>
            <w:tcW w:w="4338" w:type="dxa"/>
            <w:shd w:val="clear" w:color="auto" w:fill="auto"/>
          </w:tcPr>
          <w:p w:rsidR="007629DB" w:rsidRPr="00C40261" w:rsidRDefault="007629DB" w:rsidP="00E86028">
            <w:pPr>
              <w:jc w:val="center"/>
              <w:rPr>
                <w:rFonts w:eastAsia="Calibri" w:cs="Arial"/>
                <w:sz w:val="22"/>
                <w:szCs w:val="22"/>
              </w:rPr>
            </w:pPr>
            <w:r w:rsidRPr="00C40261">
              <w:rPr>
                <w:rFonts w:eastAsia="Calibri" w:cs="Arial"/>
                <w:sz w:val="22"/>
                <w:szCs w:val="22"/>
              </w:rPr>
              <w:t>Signature of Bidder</w:t>
            </w:r>
          </w:p>
        </w:tc>
      </w:tr>
      <w:tr w:rsidR="007629DB" w:rsidRPr="00C40261" w:rsidTr="00E86028">
        <w:tc>
          <w:tcPr>
            <w:tcW w:w="3192" w:type="dxa"/>
            <w:shd w:val="clear" w:color="auto" w:fill="auto"/>
          </w:tcPr>
          <w:p w:rsidR="007629DB" w:rsidRPr="00C40261" w:rsidRDefault="007629DB" w:rsidP="00E86028">
            <w:pPr>
              <w:jc w:val="center"/>
              <w:rPr>
                <w:rFonts w:eastAsia="Calibri" w:cs="Arial"/>
                <w:sz w:val="22"/>
                <w:szCs w:val="22"/>
              </w:rPr>
            </w:pPr>
          </w:p>
        </w:tc>
        <w:tc>
          <w:tcPr>
            <w:tcW w:w="2046" w:type="dxa"/>
            <w:tcBorders>
              <w:top w:val="nil"/>
              <w:bottom w:val="nil"/>
            </w:tcBorders>
            <w:shd w:val="clear" w:color="auto" w:fill="auto"/>
          </w:tcPr>
          <w:p w:rsidR="007629DB" w:rsidRPr="00C40261" w:rsidRDefault="007629DB" w:rsidP="00E86028">
            <w:pPr>
              <w:jc w:val="center"/>
              <w:rPr>
                <w:rFonts w:eastAsia="Calibri" w:cs="Arial"/>
                <w:sz w:val="22"/>
                <w:szCs w:val="22"/>
              </w:rPr>
            </w:pPr>
          </w:p>
        </w:tc>
        <w:tc>
          <w:tcPr>
            <w:tcW w:w="4338" w:type="dxa"/>
            <w:shd w:val="clear" w:color="auto" w:fill="auto"/>
          </w:tcPr>
          <w:p w:rsidR="007629DB" w:rsidRPr="00C40261" w:rsidRDefault="007629DB" w:rsidP="00E86028">
            <w:pPr>
              <w:jc w:val="center"/>
              <w:rPr>
                <w:rFonts w:eastAsia="Calibri" w:cs="Arial"/>
                <w:sz w:val="22"/>
                <w:szCs w:val="22"/>
              </w:rPr>
            </w:pPr>
            <w:r w:rsidRPr="00C40261">
              <w:rPr>
                <w:rFonts w:eastAsia="Calibri" w:cs="Arial"/>
                <w:sz w:val="22"/>
                <w:szCs w:val="22"/>
              </w:rPr>
              <w:t>Company</w:t>
            </w:r>
          </w:p>
        </w:tc>
      </w:tr>
    </w:tbl>
    <w:p w:rsidR="007629DB" w:rsidRPr="00C40261" w:rsidRDefault="007629DB" w:rsidP="007629DB">
      <w:pPr>
        <w:jc w:val="both"/>
        <w:rPr>
          <w:rFonts w:cs="Arial"/>
          <w:i/>
        </w:rPr>
      </w:pPr>
    </w:p>
    <w:p w:rsidR="007629DB" w:rsidRPr="00C40261" w:rsidRDefault="007629DB" w:rsidP="007629DB">
      <w:pPr>
        <w:jc w:val="both"/>
        <w:rPr>
          <w:rFonts w:cs="Arial"/>
        </w:rPr>
      </w:pPr>
      <w:r w:rsidRPr="00C40261">
        <w:rPr>
          <w:rFonts w:cs="Arial"/>
        </w:rPr>
        <w:t xml:space="preserve">A bid shall not be considered for award nor shall award be made where the foregoing certification has been complied with; provided, however, that if in any case the bidder cannot make the foregoing certification, the bidder shall so state and shall furnish with the bid a signed statement which sets forth in detail the reasons therefor. The </w:t>
      </w:r>
      <w:r w:rsidRPr="00C40261">
        <w:rPr>
          <w:rFonts w:cs="Arial"/>
          <w:b/>
        </w:rPr>
        <w:t xml:space="preserve">City of </w:t>
      </w:r>
      <w:r>
        <w:rPr>
          <w:rFonts w:cs="Arial"/>
          <w:b/>
        </w:rPr>
        <w:t>Goodlettsville</w:t>
      </w:r>
      <w:r w:rsidRPr="00C40261">
        <w:rPr>
          <w:rFonts w:cs="Arial"/>
        </w:rPr>
        <w:t xml:space="preserve"> may award a bid to a bidder who cannot make the certification, on case-by-case basis, if:</w:t>
      </w:r>
    </w:p>
    <w:p w:rsidR="007629DB" w:rsidRPr="00C40261" w:rsidRDefault="007629DB" w:rsidP="007629DB">
      <w:pPr>
        <w:jc w:val="both"/>
        <w:rPr>
          <w:rFonts w:cs="Arial"/>
        </w:rPr>
      </w:pPr>
    </w:p>
    <w:p w:rsidR="007629DB" w:rsidRPr="00C40261" w:rsidRDefault="007629DB" w:rsidP="007629DB">
      <w:pPr>
        <w:numPr>
          <w:ilvl w:val="0"/>
          <w:numId w:val="1"/>
        </w:numPr>
        <w:spacing w:line="276" w:lineRule="auto"/>
        <w:contextualSpacing/>
        <w:jc w:val="both"/>
        <w:rPr>
          <w:rFonts w:eastAsia="Calibri" w:cs="Arial"/>
          <w:sz w:val="22"/>
          <w:szCs w:val="22"/>
        </w:rPr>
      </w:pPr>
      <w:r w:rsidRPr="00C40261">
        <w:rPr>
          <w:rFonts w:eastAsia="Calibri" w:cs="Arial"/>
          <w:sz w:val="22"/>
          <w:szCs w:val="22"/>
        </w:rPr>
        <w:t>The investment activities in Iran were made before July 1, 2016, the investment activities in Iran have not been expanded or reviewed on or after July 1, 2016, and the person has adopted, publicized, and is implementing a formal plan to cease the investment activities in Iran and to refrain from engaging in any new investments in Iran; or</w:t>
      </w:r>
    </w:p>
    <w:p w:rsidR="007629DB" w:rsidRPr="00C40261" w:rsidRDefault="007629DB" w:rsidP="007629DB">
      <w:pPr>
        <w:numPr>
          <w:ilvl w:val="0"/>
          <w:numId w:val="1"/>
        </w:numPr>
        <w:spacing w:line="276" w:lineRule="auto"/>
        <w:contextualSpacing/>
        <w:jc w:val="both"/>
        <w:rPr>
          <w:rFonts w:eastAsia="Calibri" w:cs="Arial"/>
          <w:sz w:val="22"/>
          <w:szCs w:val="22"/>
        </w:rPr>
      </w:pPr>
      <w:r w:rsidRPr="00C40261">
        <w:rPr>
          <w:rFonts w:eastAsia="Calibri" w:cs="Arial"/>
          <w:sz w:val="22"/>
          <w:szCs w:val="22"/>
        </w:rPr>
        <w:t>The</w:t>
      </w:r>
      <w:r w:rsidRPr="00C40261">
        <w:rPr>
          <w:rFonts w:eastAsia="Calibri" w:cs="Arial"/>
          <w:b/>
          <w:sz w:val="22"/>
          <w:szCs w:val="22"/>
        </w:rPr>
        <w:t xml:space="preserve"> City of </w:t>
      </w:r>
      <w:r>
        <w:rPr>
          <w:rFonts w:eastAsia="Calibri" w:cs="Arial"/>
          <w:b/>
          <w:sz w:val="22"/>
          <w:szCs w:val="22"/>
        </w:rPr>
        <w:t>Goodlettsville</w:t>
      </w:r>
      <w:r w:rsidRPr="00C40261">
        <w:rPr>
          <w:rFonts w:eastAsia="Calibri" w:cs="Arial"/>
          <w:sz w:val="22"/>
          <w:szCs w:val="22"/>
        </w:rPr>
        <w:t xml:space="preserve"> makes a determination that the goods or services are necessary for the </w:t>
      </w:r>
      <w:r w:rsidRPr="00C40261">
        <w:rPr>
          <w:rFonts w:eastAsia="Calibri" w:cs="Arial"/>
          <w:b/>
          <w:sz w:val="22"/>
          <w:szCs w:val="22"/>
        </w:rPr>
        <w:t xml:space="preserve">City of </w:t>
      </w:r>
      <w:r>
        <w:rPr>
          <w:rFonts w:eastAsia="Calibri" w:cs="Arial"/>
          <w:b/>
          <w:sz w:val="22"/>
          <w:szCs w:val="22"/>
        </w:rPr>
        <w:t>Goodlettsville</w:t>
      </w:r>
      <w:r w:rsidRPr="00C40261">
        <w:rPr>
          <w:rFonts w:eastAsia="Calibri" w:cs="Arial"/>
          <w:sz w:val="22"/>
          <w:szCs w:val="22"/>
        </w:rPr>
        <w:t xml:space="preserve"> to perform its functions and that, absent such an exemption, the political subdivision will be unable to obtain the goods or services for which the contract is offered. Such determination shall be made in writing and shall be a public document. </w:t>
      </w:r>
    </w:p>
    <w:p w:rsidR="007629DB" w:rsidRPr="00C40261" w:rsidRDefault="007629DB" w:rsidP="007629DB">
      <w:pPr>
        <w:spacing w:line="240" w:lineRule="exact"/>
        <w:ind w:left="160"/>
        <w:rPr>
          <w:rFonts w:eastAsia="Arial" w:cs="Arial"/>
          <w:szCs w:val="24"/>
        </w:rPr>
      </w:pPr>
    </w:p>
    <w:p w:rsidR="007629DB" w:rsidRPr="00C40261" w:rsidRDefault="007629DB" w:rsidP="007629DB">
      <w:pPr>
        <w:jc w:val="center"/>
        <w:rPr>
          <w:rFonts w:cs="Arial"/>
          <w:b/>
        </w:rPr>
      </w:pPr>
    </w:p>
    <w:p w:rsidR="007629DB" w:rsidRPr="00C40261" w:rsidRDefault="007629DB" w:rsidP="007629DB">
      <w:pPr>
        <w:jc w:val="center"/>
        <w:rPr>
          <w:rFonts w:cs="Arial"/>
          <w:b/>
        </w:rPr>
      </w:pPr>
    </w:p>
    <w:p w:rsidR="007629DB" w:rsidRPr="00C40261" w:rsidRDefault="007629DB" w:rsidP="007629DB">
      <w:pPr>
        <w:jc w:val="center"/>
        <w:rPr>
          <w:rFonts w:cs="Arial"/>
          <w:b/>
        </w:rPr>
      </w:pPr>
    </w:p>
    <w:p w:rsidR="007629DB" w:rsidRPr="00C40261" w:rsidRDefault="007629DB" w:rsidP="007629DB">
      <w:pPr>
        <w:jc w:val="center"/>
        <w:rPr>
          <w:rFonts w:cs="Arial"/>
          <w:b/>
        </w:rPr>
      </w:pPr>
    </w:p>
    <w:p w:rsidR="007629DB" w:rsidRPr="00C40261" w:rsidRDefault="007629DB" w:rsidP="007629DB">
      <w:pPr>
        <w:jc w:val="center"/>
        <w:rPr>
          <w:rFonts w:cs="Arial"/>
          <w:b/>
        </w:rPr>
      </w:pPr>
    </w:p>
    <w:p w:rsidR="007629DB" w:rsidRPr="00C40261" w:rsidRDefault="007629DB" w:rsidP="007629DB">
      <w:pPr>
        <w:jc w:val="center"/>
        <w:rPr>
          <w:rFonts w:cs="Arial"/>
          <w:b/>
        </w:rPr>
      </w:pPr>
    </w:p>
    <w:p w:rsidR="007629DB" w:rsidRPr="00C40261" w:rsidRDefault="007629DB" w:rsidP="007629DB">
      <w:pPr>
        <w:jc w:val="center"/>
        <w:rPr>
          <w:rFonts w:cs="Arial"/>
          <w:b/>
          <w:sz w:val="28"/>
          <w:szCs w:val="28"/>
        </w:rPr>
      </w:pPr>
    </w:p>
    <w:p w:rsidR="00116775" w:rsidRDefault="007629DB">
      <w:r w:rsidRPr="00C40261">
        <w:rPr>
          <w:rFonts w:cs="Arial"/>
          <w:b/>
          <w:sz w:val="28"/>
          <w:szCs w:val="28"/>
        </w:rPr>
        <w:t>This form must be completed and accompany the bid documents.</w:t>
      </w:r>
    </w:p>
    <w:sectPr w:rsidR="00116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6333D"/>
    <w:multiLevelType w:val="hybridMultilevel"/>
    <w:tmpl w:val="F93A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DB"/>
    <w:rsid w:val="00004E49"/>
    <w:rsid w:val="00116775"/>
    <w:rsid w:val="0076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B96FD-62EB-46A7-A80B-7734F397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D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Sanders</dc:creator>
  <cp:keywords/>
  <dc:description/>
  <cp:lastModifiedBy>Charlie Ballard</cp:lastModifiedBy>
  <cp:revision>2</cp:revision>
  <dcterms:created xsi:type="dcterms:W3CDTF">2018-08-06T20:11:00Z</dcterms:created>
  <dcterms:modified xsi:type="dcterms:W3CDTF">2018-08-06T20:11:00Z</dcterms:modified>
</cp:coreProperties>
</file>