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3C6" w:rsidRDefault="003F1BBC" w:rsidP="001173C6">
      <w:pPr>
        <w:pStyle w:val="Heading1"/>
      </w:pPr>
      <w:r>
        <w:t>CITY OF MYRTLE BEACH</w:t>
      </w:r>
    </w:p>
    <w:p w:rsidR="001173C6" w:rsidRDefault="001173C6" w:rsidP="001173C6">
      <w:pPr>
        <w:pStyle w:val="Heading1"/>
      </w:pPr>
      <w:r>
        <w:t>REQUEST FOR QUOTE</w:t>
      </w:r>
    </w:p>
    <w:p w:rsidR="00B22602" w:rsidRDefault="007A6754" w:rsidP="00B22602">
      <w:pPr>
        <w:jc w:val="center"/>
        <w:rPr>
          <w:b/>
        </w:rPr>
      </w:pPr>
      <w:r>
        <w:rPr>
          <w:b/>
        </w:rPr>
        <w:t>RENTAL</w:t>
      </w:r>
      <w:r w:rsidR="000F5133">
        <w:rPr>
          <w:b/>
        </w:rPr>
        <w:t>/LEASE</w:t>
      </w:r>
      <w:r>
        <w:rPr>
          <w:b/>
        </w:rPr>
        <w:t xml:space="preserve"> </w:t>
      </w:r>
      <w:r w:rsidR="003E2F65">
        <w:rPr>
          <w:b/>
        </w:rPr>
        <w:t>–</w:t>
      </w:r>
      <w:r>
        <w:rPr>
          <w:b/>
        </w:rPr>
        <w:t xml:space="preserve"> </w:t>
      </w:r>
      <w:r w:rsidR="000F5133">
        <w:rPr>
          <w:b/>
        </w:rPr>
        <w:t>HIGH LITF BOOM</w:t>
      </w:r>
    </w:p>
    <w:p w:rsidR="000F5133" w:rsidRDefault="000F5133" w:rsidP="00B22602">
      <w:pPr>
        <w:jc w:val="center"/>
        <w:rPr>
          <w:b/>
        </w:rPr>
      </w:pPr>
    </w:p>
    <w:p w:rsidR="000F5133" w:rsidRDefault="000F5133" w:rsidP="000F5133">
      <w:pPr>
        <w:rPr>
          <w:b/>
        </w:rPr>
      </w:pPr>
      <w:r>
        <w:rPr>
          <w:b/>
        </w:rPr>
        <w:t>SPECIFICATIONS:</w:t>
      </w:r>
    </w:p>
    <w:p w:rsidR="000F5133" w:rsidRDefault="000F5133" w:rsidP="000F5133">
      <w:r>
        <w:t>The City of Myrtle Beach is seeking a qualified firm to provide 60’-64’ High Lift Boom. This quote is to establish a Lease/Rental Contract for one (1</w:t>
      </w:r>
      <w:proofErr w:type="gramStart"/>
      <w:r>
        <w:t>)  60’</w:t>
      </w:r>
      <w:proofErr w:type="gramEnd"/>
      <w:r>
        <w:t xml:space="preserve"> – 64’ which will be used by the Myrtle Beach Convention Center. This high lift boom </w:t>
      </w:r>
      <w:proofErr w:type="gramStart"/>
      <w:r>
        <w:t>will be used</w:t>
      </w:r>
      <w:proofErr w:type="gramEnd"/>
      <w:r>
        <w:t xml:space="preserve"> on an as required basis. The successful bidder shall supply the Manufacturer’s most current model equipment meeting the minimum requirements listed below.</w:t>
      </w:r>
    </w:p>
    <w:p w:rsidR="000F5133" w:rsidRDefault="000F5133" w:rsidP="000F5133"/>
    <w:p w:rsidR="00D72F80" w:rsidRDefault="00D72F80" w:rsidP="000F5133">
      <w:pPr>
        <w:rPr>
          <w:b/>
        </w:rPr>
      </w:pPr>
      <w:r>
        <w:rPr>
          <w:b/>
        </w:rPr>
        <w:t>TERM:</w:t>
      </w:r>
    </w:p>
    <w:p w:rsidR="00D72F80" w:rsidRPr="00D72F80" w:rsidRDefault="00D72F80" w:rsidP="000F5133">
      <w:r>
        <w:t>The term of this contract will be one (1) year with the option to renew one (1) additional year or monthly if necessary.</w:t>
      </w:r>
    </w:p>
    <w:p w:rsidR="00D72F80" w:rsidRDefault="00D72F80" w:rsidP="000F5133">
      <w:pPr>
        <w:rPr>
          <w:b/>
        </w:rPr>
      </w:pPr>
    </w:p>
    <w:p w:rsidR="000F5133" w:rsidRPr="000F5133" w:rsidRDefault="000F5133" w:rsidP="000F5133">
      <w:pPr>
        <w:rPr>
          <w:b/>
        </w:rPr>
      </w:pPr>
      <w:r>
        <w:rPr>
          <w:b/>
        </w:rPr>
        <w:t>RENTAL PRICE:</w:t>
      </w:r>
    </w:p>
    <w:p w:rsidR="001173C6" w:rsidRDefault="00D72F80" w:rsidP="001173C6">
      <w:r>
        <w:t xml:space="preserve">Rental Price should include maintenance, lubrication, rigging, setup and dismantling, permits (when applicable), and required insurance. High Lift Boom </w:t>
      </w:r>
      <w:proofErr w:type="gramStart"/>
      <w:r>
        <w:t>shall be delivered</w:t>
      </w:r>
      <w:proofErr w:type="gramEnd"/>
      <w:r>
        <w:t xml:space="preserve"> with one (1) full fuel tank and shall be returned with the same.</w:t>
      </w:r>
    </w:p>
    <w:p w:rsidR="00D72F80" w:rsidRDefault="00D72F80" w:rsidP="001173C6"/>
    <w:p w:rsidR="00D72F80" w:rsidRDefault="00D72F80" w:rsidP="001173C6">
      <w:r>
        <w:t xml:space="preserve">No additional charges </w:t>
      </w:r>
      <w:proofErr w:type="gramStart"/>
      <w:r>
        <w:t>may be added unless otherwise stated in detail and accepted by the City</w:t>
      </w:r>
      <w:proofErr w:type="gramEnd"/>
      <w:r>
        <w:t>.</w:t>
      </w:r>
    </w:p>
    <w:p w:rsidR="00D72F80" w:rsidRDefault="00D72F80" w:rsidP="001173C6"/>
    <w:p w:rsidR="00D72F80" w:rsidRDefault="00D72F80" w:rsidP="001173C6">
      <w:pPr>
        <w:rPr>
          <w:b/>
        </w:rPr>
      </w:pPr>
      <w:r w:rsidRPr="00D72F80">
        <w:rPr>
          <w:b/>
        </w:rPr>
        <w:t>RENTAL TERMS AND CONDITIONS:</w:t>
      </w:r>
    </w:p>
    <w:p w:rsidR="00D72F80" w:rsidRDefault="00D72F80" w:rsidP="001173C6">
      <w:r>
        <w:t>Rental of Equipment: Lessor hereby agrees to rent to the Lessee, and lessee herby agrees to rent from Lessor in strict accordance with the specifications and the terms and conditions contained herein.</w:t>
      </w:r>
    </w:p>
    <w:p w:rsidR="00D72F80" w:rsidRDefault="00D72F80" w:rsidP="001173C6"/>
    <w:p w:rsidR="00D72F80" w:rsidRDefault="00D72F80" w:rsidP="001173C6">
      <w:pPr>
        <w:rPr>
          <w:b/>
        </w:rPr>
      </w:pPr>
      <w:r>
        <w:rPr>
          <w:b/>
        </w:rPr>
        <w:t>MAINTENANCE AND REPAIR:</w:t>
      </w:r>
    </w:p>
    <w:p w:rsidR="00D72F80" w:rsidRDefault="00D72F80" w:rsidP="001173C6">
      <w:r>
        <w:t>The Lessor shall provide maintenance and repair</w:t>
      </w:r>
      <w:r w:rsidR="00E64258">
        <w:t xml:space="preserve"> service, as required, at its own expense during the term(s) of the high </w:t>
      </w:r>
      <w:proofErr w:type="gramStart"/>
      <w:r w:rsidR="00E64258">
        <w:t>lift boom equipment rentals</w:t>
      </w:r>
      <w:proofErr w:type="gramEnd"/>
      <w:r w:rsidR="00E64258">
        <w:t>.</w:t>
      </w:r>
    </w:p>
    <w:p w:rsidR="00E64258" w:rsidRDefault="00E64258" w:rsidP="001173C6"/>
    <w:p w:rsidR="00E64258" w:rsidRDefault="00E64258" w:rsidP="001173C6">
      <w:pPr>
        <w:rPr>
          <w:b/>
        </w:rPr>
      </w:pPr>
      <w:r>
        <w:rPr>
          <w:b/>
        </w:rPr>
        <w:t>EQUIPMENT RENTAL TERM:</w:t>
      </w:r>
    </w:p>
    <w:p w:rsidR="00E64258" w:rsidRDefault="00E64258" w:rsidP="001173C6">
      <w:r>
        <w:t xml:space="preserve">The term of the high </w:t>
      </w:r>
      <w:proofErr w:type="gramStart"/>
      <w:r>
        <w:t>boom lift equipment rental</w:t>
      </w:r>
      <w:proofErr w:type="gramEnd"/>
      <w:r>
        <w:t xml:space="preserve"> shall be as required for any short-term or long-term period and shall not to exceed the original contract term or resultant renewal periods at the rates established for the itemized equipment.</w:t>
      </w:r>
    </w:p>
    <w:p w:rsidR="00E64258" w:rsidRDefault="00E64258" w:rsidP="001173C6"/>
    <w:p w:rsidR="00E64258" w:rsidRPr="00E64258" w:rsidRDefault="00E64258" w:rsidP="001173C6">
      <w:pPr>
        <w:rPr>
          <w:b/>
        </w:rPr>
      </w:pPr>
      <w:r w:rsidRPr="00E64258">
        <w:rPr>
          <w:b/>
        </w:rPr>
        <w:t>RENTAL PAYMENTS:</w:t>
      </w:r>
    </w:p>
    <w:p w:rsidR="00E64258" w:rsidRDefault="00E64258" w:rsidP="001173C6">
      <w:r>
        <w:t xml:space="preserve">Lessee agrees to pay rental payments monthly in the amounts specified on the Price Schedule, net </w:t>
      </w:r>
      <w:proofErr w:type="gramStart"/>
      <w:r>
        <w:t>thirty (30) days</w:t>
      </w:r>
      <w:proofErr w:type="gramEnd"/>
      <w:r>
        <w:t>, upon presentation of proper invoice.</w:t>
      </w:r>
    </w:p>
    <w:p w:rsidR="00E64258" w:rsidRDefault="00E64258" w:rsidP="001173C6"/>
    <w:p w:rsidR="00E64258" w:rsidRPr="00E64258" w:rsidRDefault="00E64258" w:rsidP="001173C6">
      <w:pPr>
        <w:rPr>
          <w:b/>
        </w:rPr>
      </w:pPr>
      <w:r w:rsidRPr="00E64258">
        <w:rPr>
          <w:b/>
        </w:rPr>
        <w:t>INSPECTION OF EQUIPMENT:</w:t>
      </w:r>
    </w:p>
    <w:p w:rsidR="00E64258" w:rsidRDefault="00E64258" w:rsidP="001173C6">
      <w:r>
        <w:t xml:space="preserve">Lessor shall have the right at all reasonable times during business hours to enter upon the property of Lessee where the Equipment is located </w:t>
      </w:r>
      <w:proofErr w:type="gramStart"/>
      <w:r>
        <w:t>for the purpose of</w:t>
      </w:r>
      <w:proofErr w:type="gramEnd"/>
      <w:r>
        <w:t xml:space="preserve"> inspecting the Equipment.</w:t>
      </w:r>
    </w:p>
    <w:p w:rsidR="0024293D" w:rsidRDefault="0024293D" w:rsidP="001173C6"/>
    <w:p w:rsidR="00556C0C" w:rsidRDefault="00556C0C" w:rsidP="001173C6">
      <w:pPr>
        <w:rPr>
          <w:b/>
        </w:rPr>
      </w:pPr>
    </w:p>
    <w:p w:rsidR="00556C0C" w:rsidRDefault="00556C0C" w:rsidP="001173C6">
      <w:pPr>
        <w:rPr>
          <w:b/>
        </w:rPr>
      </w:pPr>
    </w:p>
    <w:p w:rsidR="0024293D" w:rsidRPr="0024293D" w:rsidRDefault="0024293D" w:rsidP="001173C6">
      <w:pPr>
        <w:rPr>
          <w:b/>
        </w:rPr>
      </w:pPr>
      <w:r w:rsidRPr="0024293D">
        <w:rPr>
          <w:b/>
        </w:rPr>
        <w:lastRenderedPageBreak/>
        <w:t>TITLE:</w:t>
      </w:r>
    </w:p>
    <w:p w:rsidR="00E64258" w:rsidRDefault="0024293D" w:rsidP="001173C6">
      <w:r>
        <w:t>Lessee shall have no title to the Equipment and the Equipment shall remain the personal properly of the Lessor.</w:t>
      </w:r>
    </w:p>
    <w:p w:rsidR="0024293D" w:rsidRDefault="0024293D" w:rsidP="001173C6"/>
    <w:p w:rsidR="0024293D" w:rsidRPr="0024293D" w:rsidRDefault="0024293D" w:rsidP="001173C6">
      <w:pPr>
        <w:rPr>
          <w:b/>
        </w:rPr>
      </w:pPr>
      <w:r w:rsidRPr="0024293D">
        <w:rPr>
          <w:b/>
        </w:rPr>
        <w:t>TAXES and FEES:</w:t>
      </w:r>
    </w:p>
    <w:p w:rsidR="00E64258" w:rsidRDefault="0024293D" w:rsidP="001173C6">
      <w:r>
        <w:t xml:space="preserve">Lessor shall pay all taxes, insurance, assessments, fees or </w:t>
      </w:r>
      <w:proofErr w:type="gramStart"/>
      <w:r>
        <w:t>penalties which</w:t>
      </w:r>
      <w:proofErr w:type="gramEnd"/>
      <w:r>
        <w:t xml:space="preserve"> may be levied or assessed on or in respect to the Equipment, its use, or any interest therein.</w:t>
      </w:r>
    </w:p>
    <w:p w:rsidR="0024293D" w:rsidRDefault="0024293D" w:rsidP="001173C6"/>
    <w:p w:rsidR="0024293D" w:rsidRPr="0024293D" w:rsidRDefault="0024293D" w:rsidP="001173C6">
      <w:pPr>
        <w:rPr>
          <w:b/>
        </w:rPr>
      </w:pPr>
      <w:r w:rsidRPr="0024293D">
        <w:rPr>
          <w:b/>
        </w:rPr>
        <w:t>RESPONSIBILITY for EQUIPMENT REPAIRS:</w:t>
      </w:r>
    </w:p>
    <w:p w:rsidR="00E64258" w:rsidRDefault="0024293D" w:rsidP="001173C6">
      <w:r>
        <w:t>Lessor shall be fully responsible for the loss or damage and repairs to rented equipment from any cause except loss or damage caused by the willful negligence of the Lessee, theft, or disappearance.</w:t>
      </w:r>
    </w:p>
    <w:p w:rsidR="0024293D" w:rsidRDefault="0024293D" w:rsidP="001173C6"/>
    <w:p w:rsidR="0024293D" w:rsidRPr="0024293D" w:rsidRDefault="0024293D" w:rsidP="001173C6">
      <w:pPr>
        <w:rPr>
          <w:b/>
        </w:rPr>
      </w:pPr>
      <w:r w:rsidRPr="0024293D">
        <w:rPr>
          <w:b/>
        </w:rPr>
        <w:t>INSURANCE:</w:t>
      </w:r>
    </w:p>
    <w:p w:rsidR="00E64258" w:rsidRDefault="0024293D" w:rsidP="001173C6">
      <w:r>
        <w:t>Lessor shall maintain insurance sufficient to cover any loss to the Equipment and its repair or replacement.</w:t>
      </w:r>
    </w:p>
    <w:p w:rsidR="0024293D" w:rsidRDefault="0024293D" w:rsidP="001173C6"/>
    <w:p w:rsidR="0024293D" w:rsidRPr="0024293D" w:rsidRDefault="0024293D" w:rsidP="001173C6">
      <w:pPr>
        <w:rPr>
          <w:b/>
        </w:rPr>
      </w:pPr>
      <w:r w:rsidRPr="0024293D">
        <w:rPr>
          <w:b/>
        </w:rPr>
        <w:t>WARRENTY:</w:t>
      </w:r>
    </w:p>
    <w:p w:rsidR="00E64258" w:rsidRDefault="0024293D" w:rsidP="001173C6">
      <w:proofErr w:type="gramStart"/>
      <w:r>
        <w:t>The Lessor warrants that all articles, materials, and work rented or performed under this agreement shall conform to each and every specification, drawing, sample, or other description which is contained in the rental, furnished to the Lessee, or adopted by the Lessee, and that such articles, materials, and work will be fit and sufficient for the purpose intended, merchantable, of good material and workmanship, and free from defect.</w:t>
      </w:r>
      <w:proofErr w:type="gramEnd"/>
      <w:r w:rsidR="003A54D3">
        <w:t xml:space="preserve"> Such warranty shall not be waived </w:t>
      </w:r>
      <w:proofErr w:type="gramStart"/>
      <w:r w:rsidR="003A54D3">
        <w:t>by reason of</w:t>
      </w:r>
      <w:proofErr w:type="gramEnd"/>
      <w:r w:rsidR="003A54D3">
        <w:t xml:space="preserve"> the Lessee’s acceptance or rental payment.</w:t>
      </w:r>
    </w:p>
    <w:p w:rsidR="003A54D3" w:rsidRDefault="003A54D3" w:rsidP="001173C6"/>
    <w:p w:rsidR="003A54D3" w:rsidRPr="003A54D3" w:rsidRDefault="003A54D3" w:rsidP="001173C6">
      <w:pPr>
        <w:rPr>
          <w:b/>
        </w:rPr>
      </w:pPr>
      <w:r w:rsidRPr="003A54D3">
        <w:rPr>
          <w:b/>
        </w:rPr>
        <w:t>DELIVERY:</w:t>
      </w:r>
    </w:p>
    <w:p w:rsidR="00E64258" w:rsidRDefault="003A54D3" w:rsidP="001173C6">
      <w:r>
        <w:t xml:space="preserve">Delivery and pickup charges shall be quoted as one flat </w:t>
      </w:r>
      <w:proofErr w:type="gramStart"/>
      <w:r>
        <w:t>fee which</w:t>
      </w:r>
      <w:proofErr w:type="gramEnd"/>
      <w:r>
        <w:t xml:space="preserve"> will include both delivery and pickup of equipment. It shall also include all cost (permits, fuel, labor, rigging, etc.) associated with delivery and pickup.</w:t>
      </w:r>
    </w:p>
    <w:p w:rsidR="003A54D3" w:rsidRDefault="003A54D3" w:rsidP="001173C6"/>
    <w:p w:rsidR="003A54D3" w:rsidRPr="003A54D3" w:rsidRDefault="003A54D3" w:rsidP="001173C6">
      <w:pPr>
        <w:rPr>
          <w:b/>
        </w:rPr>
      </w:pPr>
      <w:r w:rsidRPr="003A54D3">
        <w:rPr>
          <w:b/>
        </w:rPr>
        <w:t>MAINTENANCE:</w:t>
      </w:r>
    </w:p>
    <w:p w:rsidR="00E64258" w:rsidRDefault="003A54D3" w:rsidP="001173C6">
      <w:r>
        <w:t xml:space="preserve">Lessor shall provide written instructions for the daily and weekly operating maintenance </w:t>
      </w:r>
      <w:proofErr w:type="gramStart"/>
      <w:r>
        <w:t>procedures which</w:t>
      </w:r>
      <w:proofErr w:type="gramEnd"/>
      <w:r>
        <w:t xml:space="preserve"> shall be performed by the City.</w:t>
      </w:r>
    </w:p>
    <w:p w:rsidR="003A54D3" w:rsidRDefault="003A54D3" w:rsidP="001173C6"/>
    <w:p w:rsidR="003A54D3" w:rsidRPr="003A54D3" w:rsidRDefault="003A54D3" w:rsidP="001173C6">
      <w:pPr>
        <w:rPr>
          <w:b/>
        </w:rPr>
      </w:pPr>
      <w:r w:rsidRPr="003A54D3">
        <w:rPr>
          <w:b/>
        </w:rPr>
        <w:t>PREVENTATIVE MAINTENANCE:</w:t>
      </w:r>
    </w:p>
    <w:p w:rsidR="00E64258" w:rsidRDefault="003A54D3" w:rsidP="001173C6">
      <w:r>
        <w:t xml:space="preserve">All scheduled Preventative Maintenance and </w:t>
      </w:r>
      <w:proofErr w:type="gramStart"/>
      <w:r>
        <w:t>Service Repair shall be performed by the Lessor, as required</w:t>
      </w:r>
      <w:proofErr w:type="gramEnd"/>
      <w:r>
        <w:t>. Lessor shall provide the City with the maintenance schedule for the rented equipment. The City will notify the Lessor when equipment requires maintenance according to the schedule provided.</w:t>
      </w:r>
    </w:p>
    <w:p w:rsidR="003A54D3" w:rsidRDefault="003A54D3" w:rsidP="001173C6"/>
    <w:p w:rsidR="003A54D3" w:rsidRPr="003A54D3" w:rsidRDefault="003A54D3" w:rsidP="001173C6">
      <w:pPr>
        <w:rPr>
          <w:b/>
        </w:rPr>
      </w:pPr>
      <w:r w:rsidRPr="003A54D3">
        <w:rPr>
          <w:b/>
        </w:rPr>
        <w:t>PHYSICAL DAMAGE:</w:t>
      </w:r>
    </w:p>
    <w:p w:rsidR="00E64258" w:rsidRDefault="003A54D3" w:rsidP="001173C6">
      <w:r>
        <w:t>Upon finding by the City that all rental equipment is in satisfactory working condition and free from obvious mechanical and structural defects, the City agrees to surrender the equipment at the expiration of the rental term, in the same rented condition, excepting normal wear and tear. In case of theft or loss of equipment the fair market value shall be establish in accordance with generally accepted accounting practices for this type of equipment.</w:t>
      </w:r>
    </w:p>
    <w:p w:rsidR="00A90E45" w:rsidRDefault="00A90E45" w:rsidP="001173C6"/>
    <w:p w:rsidR="00A90E45" w:rsidRDefault="00A90E45" w:rsidP="00A90E45">
      <w:pPr>
        <w:jc w:val="center"/>
        <w:rPr>
          <w:b/>
        </w:rPr>
      </w:pPr>
      <w:r w:rsidRPr="00A90E45">
        <w:rPr>
          <w:b/>
        </w:rPr>
        <w:t>PRICE SCHEDULE</w:t>
      </w:r>
    </w:p>
    <w:p w:rsidR="00A90E45" w:rsidRDefault="00A90E45" w:rsidP="00A90E45">
      <w:pPr>
        <w:jc w:val="center"/>
        <w:rPr>
          <w:b/>
        </w:rPr>
      </w:pPr>
    </w:p>
    <w:tbl>
      <w:tblPr>
        <w:tblStyle w:val="TableGrid"/>
        <w:tblW w:w="0" w:type="auto"/>
        <w:tblLook w:val="04A0" w:firstRow="1" w:lastRow="0" w:firstColumn="1" w:lastColumn="0" w:noHBand="0" w:noVBand="1"/>
      </w:tblPr>
      <w:tblGrid>
        <w:gridCol w:w="701"/>
        <w:gridCol w:w="1553"/>
        <w:gridCol w:w="779"/>
        <w:gridCol w:w="670"/>
        <w:gridCol w:w="1437"/>
        <w:gridCol w:w="1437"/>
        <w:gridCol w:w="1437"/>
        <w:gridCol w:w="1336"/>
      </w:tblGrid>
      <w:tr w:rsidR="001D6120" w:rsidTr="001D6120">
        <w:tc>
          <w:tcPr>
            <w:tcW w:w="700" w:type="dxa"/>
          </w:tcPr>
          <w:p w:rsidR="001D6120" w:rsidRDefault="001D6120" w:rsidP="00A90E45">
            <w:pPr>
              <w:jc w:val="center"/>
              <w:rPr>
                <w:b/>
              </w:rPr>
            </w:pPr>
            <w:r>
              <w:rPr>
                <w:b/>
              </w:rPr>
              <w:t>Item No.</w:t>
            </w:r>
          </w:p>
        </w:tc>
        <w:tc>
          <w:tcPr>
            <w:tcW w:w="1566" w:type="dxa"/>
          </w:tcPr>
          <w:p w:rsidR="001D6120" w:rsidRDefault="001D6120" w:rsidP="00A90E45">
            <w:pPr>
              <w:jc w:val="center"/>
              <w:rPr>
                <w:b/>
              </w:rPr>
            </w:pPr>
            <w:r>
              <w:rPr>
                <w:b/>
              </w:rPr>
              <w:t>Description</w:t>
            </w:r>
          </w:p>
        </w:tc>
        <w:tc>
          <w:tcPr>
            <w:tcW w:w="783" w:type="dxa"/>
          </w:tcPr>
          <w:p w:rsidR="001D6120" w:rsidRDefault="001D6120" w:rsidP="00A90E45">
            <w:pPr>
              <w:jc w:val="center"/>
              <w:rPr>
                <w:b/>
              </w:rPr>
            </w:pPr>
            <w:r>
              <w:rPr>
                <w:b/>
              </w:rPr>
              <w:t>QTY</w:t>
            </w:r>
          </w:p>
        </w:tc>
        <w:tc>
          <w:tcPr>
            <w:tcW w:w="645" w:type="dxa"/>
          </w:tcPr>
          <w:p w:rsidR="001D6120" w:rsidRDefault="001D6120" w:rsidP="00A90E45">
            <w:pPr>
              <w:jc w:val="center"/>
              <w:rPr>
                <w:b/>
              </w:rPr>
            </w:pPr>
            <w:r>
              <w:rPr>
                <w:b/>
              </w:rPr>
              <w:t>Unit</w:t>
            </w:r>
          </w:p>
        </w:tc>
        <w:tc>
          <w:tcPr>
            <w:tcW w:w="1439" w:type="dxa"/>
          </w:tcPr>
          <w:p w:rsidR="001D6120" w:rsidRDefault="001D6120" w:rsidP="00A90E45">
            <w:pPr>
              <w:jc w:val="center"/>
              <w:rPr>
                <w:b/>
              </w:rPr>
            </w:pPr>
            <w:r>
              <w:rPr>
                <w:b/>
              </w:rPr>
              <w:t>Weekly Price</w:t>
            </w:r>
          </w:p>
        </w:tc>
        <w:tc>
          <w:tcPr>
            <w:tcW w:w="1439" w:type="dxa"/>
          </w:tcPr>
          <w:p w:rsidR="001D6120" w:rsidRDefault="001D6120" w:rsidP="00A90E45">
            <w:pPr>
              <w:jc w:val="center"/>
              <w:rPr>
                <w:b/>
              </w:rPr>
            </w:pPr>
            <w:r>
              <w:rPr>
                <w:b/>
              </w:rPr>
              <w:t>Monthly Price</w:t>
            </w:r>
          </w:p>
        </w:tc>
        <w:tc>
          <w:tcPr>
            <w:tcW w:w="1439" w:type="dxa"/>
          </w:tcPr>
          <w:p w:rsidR="001D6120" w:rsidRDefault="001D6120" w:rsidP="00A90E45">
            <w:pPr>
              <w:jc w:val="center"/>
              <w:rPr>
                <w:b/>
              </w:rPr>
            </w:pPr>
            <w:r>
              <w:rPr>
                <w:b/>
              </w:rPr>
              <w:t>Quarterly Price</w:t>
            </w:r>
          </w:p>
        </w:tc>
        <w:tc>
          <w:tcPr>
            <w:tcW w:w="1339" w:type="dxa"/>
          </w:tcPr>
          <w:p w:rsidR="001D6120" w:rsidRDefault="001D6120" w:rsidP="00A90E45">
            <w:pPr>
              <w:jc w:val="center"/>
              <w:rPr>
                <w:b/>
              </w:rPr>
            </w:pPr>
            <w:r>
              <w:rPr>
                <w:b/>
              </w:rPr>
              <w:t>Delivery &amp; Pickup One Flat Fee</w:t>
            </w:r>
          </w:p>
        </w:tc>
      </w:tr>
      <w:tr w:rsidR="001D6120" w:rsidTr="001D6120">
        <w:tc>
          <w:tcPr>
            <w:tcW w:w="700" w:type="dxa"/>
          </w:tcPr>
          <w:p w:rsidR="001D6120" w:rsidRDefault="001D6120" w:rsidP="00A90E45">
            <w:pPr>
              <w:jc w:val="center"/>
              <w:rPr>
                <w:b/>
              </w:rPr>
            </w:pPr>
          </w:p>
        </w:tc>
        <w:tc>
          <w:tcPr>
            <w:tcW w:w="1566" w:type="dxa"/>
          </w:tcPr>
          <w:p w:rsidR="001D6120" w:rsidRDefault="001D6120" w:rsidP="00A90E45">
            <w:pPr>
              <w:jc w:val="center"/>
              <w:rPr>
                <w:b/>
              </w:rPr>
            </w:pPr>
          </w:p>
        </w:tc>
        <w:tc>
          <w:tcPr>
            <w:tcW w:w="783" w:type="dxa"/>
          </w:tcPr>
          <w:p w:rsidR="001D6120" w:rsidRDefault="001D6120" w:rsidP="00A90E45">
            <w:pPr>
              <w:jc w:val="center"/>
              <w:rPr>
                <w:b/>
              </w:rPr>
            </w:pPr>
          </w:p>
        </w:tc>
        <w:tc>
          <w:tcPr>
            <w:tcW w:w="645" w:type="dxa"/>
          </w:tcPr>
          <w:p w:rsidR="001D6120" w:rsidRDefault="001D6120" w:rsidP="00A90E45">
            <w:pPr>
              <w:jc w:val="center"/>
              <w:rPr>
                <w:b/>
              </w:rPr>
            </w:pPr>
          </w:p>
        </w:tc>
        <w:tc>
          <w:tcPr>
            <w:tcW w:w="1439" w:type="dxa"/>
          </w:tcPr>
          <w:p w:rsidR="001D6120" w:rsidRDefault="001D6120" w:rsidP="00A90E45">
            <w:pPr>
              <w:jc w:val="center"/>
              <w:rPr>
                <w:b/>
              </w:rPr>
            </w:pPr>
          </w:p>
        </w:tc>
        <w:tc>
          <w:tcPr>
            <w:tcW w:w="1439" w:type="dxa"/>
          </w:tcPr>
          <w:p w:rsidR="001D6120" w:rsidRDefault="001D6120" w:rsidP="00A90E45">
            <w:pPr>
              <w:jc w:val="center"/>
              <w:rPr>
                <w:b/>
              </w:rPr>
            </w:pPr>
          </w:p>
        </w:tc>
        <w:tc>
          <w:tcPr>
            <w:tcW w:w="1439" w:type="dxa"/>
          </w:tcPr>
          <w:p w:rsidR="001D6120" w:rsidRDefault="001D6120" w:rsidP="00A90E45">
            <w:pPr>
              <w:jc w:val="center"/>
              <w:rPr>
                <w:b/>
              </w:rPr>
            </w:pPr>
          </w:p>
        </w:tc>
        <w:tc>
          <w:tcPr>
            <w:tcW w:w="1339" w:type="dxa"/>
          </w:tcPr>
          <w:p w:rsidR="001D6120" w:rsidRDefault="001D6120" w:rsidP="00A90E45">
            <w:pPr>
              <w:jc w:val="center"/>
              <w:rPr>
                <w:b/>
              </w:rPr>
            </w:pPr>
          </w:p>
        </w:tc>
      </w:tr>
      <w:tr w:rsidR="001D6120" w:rsidTr="001D6120">
        <w:tc>
          <w:tcPr>
            <w:tcW w:w="700" w:type="dxa"/>
          </w:tcPr>
          <w:p w:rsidR="001D6120" w:rsidRPr="00A90E45" w:rsidRDefault="001D6120" w:rsidP="00A90E45">
            <w:pPr>
              <w:jc w:val="center"/>
            </w:pPr>
            <w:bookmarkStart w:id="0" w:name="_GoBack"/>
            <w:r w:rsidRPr="00A90E45">
              <w:t>1.</w:t>
            </w:r>
          </w:p>
        </w:tc>
        <w:tc>
          <w:tcPr>
            <w:tcW w:w="1566" w:type="dxa"/>
          </w:tcPr>
          <w:p w:rsidR="001D6120" w:rsidRPr="00A90E45" w:rsidRDefault="001D6120" w:rsidP="00A90E45">
            <w:pPr>
              <w:jc w:val="center"/>
            </w:pPr>
            <w:r>
              <w:t>High Lift Boom 60 feet to 64 feet</w:t>
            </w:r>
          </w:p>
        </w:tc>
        <w:tc>
          <w:tcPr>
            <w:tcW w:w="783" w:type="dxa"/>
          </w:tcPr>
          <w:p w:rsidR="001D6120" w:rsidRDefault="001D6120" w:rsidP="00A90E45"/>
          <w:p w:rsidR="001D6120" w:rsidRDefault="001D6120" w:rsidP="00A90E45">
            <w:r>
              <w:t>1</w:t>
            </w:r>
          </w:p>
        </w:tc>
        <w:tc>
          <w:tcPr>
            <w:tcW w:w="645" w:type="dxa"/>
          </w:tcPr>
          <w:p w:rsidR="001D6120" w:rsidRDefault="001D6120" w:rsidP="00A90E45"/>
          <w:p w:rsidR="001D6120" w:rsidRDefault="001D6120" w:rsidP="00A90E45">
            <w:proofErr w:type="spellStart"/>
            <w:r>
              <w:t>ea</w:t>
            </w:r>
            <w:proofErr w:type="spellEnd"/>
          </w:p>
        </w:tc>
        <w:tc>
          <w:tcPr>
            <w:tcW w:w="1439" w:type="dxa"/>
          </w:tcPr>
          <w:p w:rsidR="001D6120" w:rsidRDefault="001D6120" w:rsidP="00A90E45"/>
          <w:p w:rsidR="001D6120" w:rsidRPr="00A90E45" w:rsidRDefault="001D6120" w:rsidP="00A90E45">
            <w:r>
              <w:t>$_________</w:t>
            </w:r>
          </w:p>
        </w:tc>
        <w:tc>
          <w:tcPr>
            <w:tcW w:w="1439" w:type="dxa"/>
          </w:tcPr>
          <w:p w:rsidR="001D6120" w:rsidRDefault="001D6120" w:rsidP="00A90E45"/>
          <w:p w:rsidR="001D6120" w:rsidRPr="00A90E45" w:rsidRDefault="001D6120" w:rsidP="00A90E45">
            <w:r>
              <w:t>$_________</w:t>
            </w:r>
          </w:p>
        </w:tc>
        <w:tc>
          <w:tcPr>
            <w:tcW w:w="1439" w:type="dxa"/>
          </w:tcPr>
          <w:p w:rsidR="001D6120" w:rsidRDefault="001D6120" w:rsidP="00A90E45"/>
          <w:p w:rsidR="001D6120" w:rsidRPr="00A90E45" w:rsidRDefault="001D6120" w:rsidP="00A90E45">
            <w:r>
              <w:t>$_________</w:t>
            </w:r>
          </w:p>
        </w:tc>
        <w:tc>
          <w:tcPr>
            <w:tcW w:w="1339" w:type="dxa"/>
          </w:tcPr>
          <w:p w:rsidR="001D6120" w:rsidRDefault="001D6120" w:rsidP="00A90E45"/>
          <w:p w:rsidR="001D6120" w:rsidRPr="00A90E45" w:rsidRDefault="001D6120" w:rsidP="00A90E45">
            <w:r>
              <w:t>$________</w:t>
            </w:r>
          </w:p>
        </w:tc>
      </w:tr>
      <w:bookmarkEnd w:id="0"/>
    </w:tbl>
    <w:p w:rsidR="00A90E45" w:rsidRPr="00A90E45" w:rsidRDefault="00A90E45" w:rsidP="00A90E45">
      <w:pPr>
        <w:jc w:val="center"/>
        <w:rPr>
          <w:b/>
        </w:rPr>
      </w:pPr>
    </w:p>
    <w:p w:rsidR="00E64258" w:rsidRDefault="00E64258" w:rsidP="001173C6"/>
    <w:p w:rsidR="00E64258" w:rsidRDefault="00A90E45" w:rsidP="001173C6">
      <w:r>
        <w:t>COMPANY NAME: _____________________________________________</w:t>
      </w:r>
    </w:p>
    <w:p w:rsidR="00A90E45" w:rsidRDefault="00A90E45" w:rsidP="001173C6"/>
    <w:p w:rsidR="00A90E45" w:rsidRDefault="00A90E45" w:rsidP="001173C6">
      <w:r>
        <w:t>BILLING ADDRESS</w:t>
      </w:r>
      <w:proofErr w:type="gramStart"/>
      <w:r>
        <w:t>:_</w:t>
      </w:r>
      <w:proofErr w:type="gramEnd"/>
      <w:r>
        <w:t>____________________________________________________</w:t>
      </w:r>
    </w:p>
    <w:p w:rsidR="00A90E45" w:rsidRDefault="00A90E45" w:rsidP="001173C6"/>
    <w:p w:rsidR="00A90E45" w:rsidRDefault="00A90E45" w:rsidP="001173C6">
      <w:r>
        <w:t>CITY, STATE, ZIPCODE</w:t>
      </w:r>
      <w:proofErr w:type="gramStart"/>
      <w:r>
        <w:t>:_</w:t>
      </w:r>
      <w:proofErr w:type="gramEnd"/>
      <w:r>
        <w:t>_________________________________________________</w:t>
      </w:r>
    </w:p>
    <w:p w:rsidR="00A90E45" w:rsidRDefault="00A90E45" w:rsidP="001173C6"/>
    <w:p w:rsidR="00A90E45" w:rsidRDefault="00A90E45" w:rsidP="001173C6">
      <w:r>
        <w:t>PHONE NO</w:t>
      </w:r>
      <w:proofErr w:type="gramStart"/>
      <w:r>
        <w:t>:_</w:t>
      </w:r>
      <w:proofErr w:type="gramEnd"/>
      <w:r>
        <w:t>____________________________________________________________</w:t>
      </w:r>
    </w:p>
    <w:p w:rsidR="00A90E45" w:rsidRDefault="00A90E45" w:rsidP="001173C6"/>
    <w:p w:rsidR="00A90E45" w:rsidRDefault="00A90E45" w:rsidP="001173C6">
      <w:r>
        <w:t>EMAIL ADDRESS</w:t>
      </w:r>
      <w:proofErr w:type="gramStart"/>
      <w:r>
        <w:t>:_</w:t>
      </w:r>
      <w:proofErr w:type="gramEnd"/>
      <w:r>
        <w:t>______________________________________________________</w:t>
      </w:r>
    </w:p>
    <w:p w:rsidR="00A90E45" w:rsidRDefault="00A90E45" w:rsidP="001173C6"/>
    <w:p w:rsidR="00A90E45" w:rsidRDefault="00A90E45" w:rsidP="001173C6"/>
    <w:p w:rsidR="00A90E45" w:rsidRDefault="00A90E45" w:rsidP="001173C6"/>
    <w:p w:rsidR="00A90E45" w:rsidRDefault="00A90E45" w:rsidP="001173C6"/>
    <w:p w:rsidR="00A90E45" w:rsidRDefault="00A90E45" w:rsidP="001173C6"/>
    <w:p w:rsidR="00A90E45" w:rsidRDefault="00A90E45" w:rsidP="001173C6"/>
    <w:p w:rsidR="00A90E45" w:rsidRDefault="00A90E45" w:rsidP="001173C6"/>
    <w:p w:rsidR="00E64258" w:rsidRDefault="00E64258" w:rsidP="001173C6"/>
    <w:p w:rsidR="00E64258" w:rsidRDefault="00E64258" w:rsidP="001173C6"/>
    <w:p w:rsidR="00E64258" w:rsidRDefault="00E64258" w:rsidP="001173C6"/>
    <w:p w:rsidR="00E64258" w:rsidRPr="00D72F80" w:rsidRDefault="00E64258" w:rsidP="001173C6"/>
    <w:sectPr w:rsidR="00E64258" w:rsidRPr="00D72F80" w:rsidSect="00C77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EF2"/>
    <w:multiLevelType w:val="hybridMultilevel"/>
    <w:tmpl w:val="5408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0B"/>
    <w:rsid w:val="000651AF"/>
    <w:rsid w:val="000F5133"/>
    <w:rsid w:val="001173C6"/>
    <w:rsid w:val="0017250B"/>
    <w:rsid w:val="001D6120"/>
    <w:rsid w:val="001F0903"/>
    <w:rsid w:val="0024293D"/>
    <w:rsid w:val="002939A5"/>
    <w:rsid w:val="003A54D3"/>
    <w:rsid w:val="003E2F65"/>
    <w:rsid w:val="003F1BBC"/>
    <w:rsid w:val="004B2380"/>
    <w:rsid w:val="00556C0C"/>
    <w:rsid w:val="00670512"/>
    <w:rsid w:val="007815E6"/>
    <w:rsid w:val="007A6754"/>
    <w:rsid w:val="008442AF"/>
    <w:rsid w:val="008E5FF2"/>
    <w:rsid w:val="00952F6A"/>
    <w:rsid w:val="009777D8"/>
    <w:rsid w:val="00A0406D"/>
    <w:rsid w:val="00A669D5"/>
    <w:rsid w:val="00A90E45"/>
    <w:rsid w:val="00A92597"/>
    <w:rsid w:val="00B109A2"/>
    <w:rsid w:val="00B22602"/>
    <w:rsid w:val="00BE0C61"/>
    <w:rsid w:val="00C77C01"/>
    <w:rsid w:val="00CC0578"/>
    <w:rsid w:val="00D72F80"/>
    <w:rsid w:val="00E64258"/>
    <w:rsid w:val="00F9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0B2A"/>
  <w15:docId w15:val="{00C40DE6-204F-4921-9F8D-6005E637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250B"/>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50B"/>
    <w:rPr>
      <w:rFonts w:ascii="Times New Roman" w:eastAsia="Times New Roman" w:hAnsi="Times New Roman" w:cs="Times New Roman"/>
      <w:sz w:val="28"/>
      <w:szCs w:val="24"/>
    </w:rPr>
  </w:style>
  <w:style w:type="table" w:styleId="TableGrid">
    <w:name w:val="Table Grid"/>
    <w:basedOn w:val="TableNormal"/>
    <w:uiPriority w:val="39"/>
    <w:rsid w:val="00F9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754"/>
    <w:pPr>
      <w:ind w:left="720"/>
      <w:contextualSpacing/>
    </w:pPr>
  </w:style>
  <w:style w:type="paragraph" w:styleId="BalloonText">
    <w:name w:val="Balloon Text"/>
    <w:basedOn w:val="Normal"/>
    <w:link w:val="BalloonTextChar"/>
    <w:uiPriority w:val="99"/>
    <w:semiHidden/>
    <w:unhideWhenUsed/>
    <w:rsid w:val="001F0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9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CMB</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tcausey</dc:creator>
  <cp:lastModifiedBy>Tina Causey</cp:lastModifiedBy>
  <cp:revision>4</cp:revision>
  <cp:lastPrinted>2020-02-04T16:41:00Z</cp:lastPrinted>
  <dcterms:created xsi:type="dcterms:W3CDTF">2021-05-13T18:06:00Z</dcterms:created>
  <dcterms:modified xsi:type="dcterms:W3CDTF">2021-05-13T18:08:00Z</dcterms:modified>
</cp:coreProperties>
</file>